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8CA7" w14:textId="41ED8A4D" w:rsidR="00922E9A" w:rsidRPr="003C7B9D" w:rsidRDefault="0040747C" w:rsidP="00CC3ECC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C7B9D">
        <w:rPr>
          <w:rFonts w:ascii="Times New Roman" w:hAnsi="Times New Roman" w:cs="Times New Roman"/>
          <w:bCs/>
          <w:sz w:val="28"/>
          <w:szCs w:val="24"/>
        </w:rPr>
        <w:t>OBRAZLOŽENJE UZ GODIŠNJI IZVJEŠTAJ O IZVRŠENJU PRORAČUNA</w:t>
      </w:r>
    </w:p>
    <w:p w14:paraId="4761A8F8" w14:textId="2AA26F09" w:rsidR="00D64830" w:rsidRPr="003C7B9D" w:rsidRDefault="0040747C" w:rsidP="00CC3ECC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C7B9D">
        <w:rPr>
          <w:rFonts w:ascii="Times New Roman" w:hAnsi="Times New Roman" w:cs="Times New Roman"/>
          <w:bCs/>
          <w:sz w:val="28"/>
          <w:szCs w:val="24"/>
        </w:rPr>
        <w:t>OPĆINE LASTOVO ZA 202</w:t>
      </w:r>
      <w:r w:rsidR="00C51E02" w:rsidRPr="003C7B9D">
        <w:rPr>
          <w:rFonts w:ascii="Times New Roman" w:hAnsi="Times New Roman" w:cs="Times New Roman"/>
          <w:bCs/>
          <w:sz w:val="28"/>
          <w:szCs w:val="24"/>
        </w:rPr>
        <w:t>5</w:t>
      </w:r>
      <w:r w:rsidRPr="003C7B9D">
        <w:rPr>
          <w:rFonts w:ascii="Times New Roman" w:hAnsi="Times New Roman" w:cs="Times New Roman"/>
          <w:bCs/>
          <w:sz w:val="28"/>
          <w:szCs w:val="24"/>
        </w:rPr>
        <w:t>. GODINU</w:t>
      </w:r>
    </w:p>
    <w:p w14:paraId="12C6F055" w14:textId="34803062" w:rsidR="00C226E0" w:rsidRPr="00CC3ECC" w:rsidRDefault="00CC3ECC" w:rsidP="00CC3E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26E0" w:rsidRPr="00CC3ECC">
        <w:rPr>
          <w:rFonts w:ascii="Times New Roman" w:hAnsi="Times New Roman" w:cs="Times New Roman"/>
          <w:bCs/>
          <w:sz w:val="24"/>
          <w:szCs w:val="24"/>
        </w:rPr>
        <w:t xml:space="preserve">Podaci iz Godišnjeg izvještaja o izvršenju proračuna Općine Lastovo odnose se </w:t>
      </w:r>
      <w:r w:rsidR="00EA79ED" w:rsidRPr="00CC3ECC">
        <w:rPr>
          <w:rFonts w:ascii="Times New Roman" w:hAnsi="Times New Roman" w:cs="Times New Roman"/>
          <w:bCs/>
          <w:sz w:val="24"/>
          <w:szCs w:val="24"/>
        </w:rPr>
        <w:t xml:space="preserve">zbirno </w:t>
      </w:r>
      <w:r w:rsidR="00C226E0" w:rsidRPr="00CC3ECC">
        <w:rPr>
          <w:rFonts w:ascii="Times New Roman" w:hAnsi="Times New Roman" w:cs="Times New Roman"/>
          <w:bCs/>
          <w:sz w:val="24"/>
          <w:szCs w:val="24"/>
        </w:rPr>
        <w:t>na Općinu Lastovo</w:t>
      </w:r>
      <w:r w:rsidR="00EA79ED" w:rsidRPr="00CC3ECC">
        <w:rPr>
          <w:rFonts w:ascii="Times New Roman" w:hAnsi="Times New Roman" w:cs="Times New Roman"/>
          <w:bCs/>
          <w:sz w:val="24"/>
          <w:szCs w:val="24"/>
        </w:rPr>
        <w:t>,</w:t>
      </w:r>
      <w:r w:rsidR="00C226E0" w:rsidRPr="00CC3ECC">
        <w:rPr>
          <w:rFonts w:ascii="Times New Roman" w:hAnsi="Times New Roman" w:cs="Times New Roman"/>
          <w:bCs/>
          <w:sz w:val="24"/>
          <w:szCs w:val="24"/>
        </w:rPr>
        <w:t xml:space="preserve"> te proračunskog korisnika općine</w:t>
      </w:r>
      <w:r w:rsidR="00890F00">
        <w:rPr>
          <w:rFonts w:ascii="Times New Roman" w:hAnsi="Times New Roman" w:cs="Times New Roman"/>
          <w:bCs/>
          <w:sz w:val="24"/>
          <w:szCs w:val="24"/>
        </w:rPr>
        <w:t xml:space="preserve"> Lastovo</w:t>
      </w:r>
      <w:r w:rsidR="00C226E0" w:rsidRPr="00CC3ECC">
        <w:rPr>
          <w:rFonts w:ascii="Times New Roman" w:hAnsi="Times New Roman" w:cs="Times New Roman"/>
          <w:bCs/>
          <w:sz w:val="24"/>
          <w:szCs w:val="24"/>
        </w:rPr>
        <w:t xml:space="preserve"> Dječji vrtić Biser Lastova. </w:t>
      </w:r>
    </w:p>
    <w:p w14:paraId="068E70A2" w14:textId="59A07E1D" w:rsidR="0040747C" w:rsidRPr="00CC3ECC" w:rsidRDefault="0040747C" w:rsidP="00CC3E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ECC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37E03689" w14:textId="00ED124E" w:rsidR="0040747C" w:rsidRPr="00CC3ECC" w:rsidRDefault="00CC3ECC" w:rsidP="00CC3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47C" w:rsidRPr="00CC3ECC">
        <w:rPr>
          <w:rFonts w:ascii="Times New Roman" w:hAnsi="Times New Roman" w:cs="Times New Roman"/>
          <w:sz w:val="24"/>
          <w:szCs w:val="24"/>
        </w:rPr>
        <w:t>Prihodi poslovanja izvršeni s</w:t>
      </w:r>
      <w:r w:rsidR="00E01CE8">
        <w:rPr>
          <w:rFonts w:ascii="Times New Roman" w:hAnsi="Times New Roman" w:cs="Times New Roman"/>
          <w:sz w:val="24"/>
          <w:szCs w:val="24"/>
        </w:rPr>
        <w:t>u 84</w:t>
      </w:r>
      <w:r w:rsidR="00EA79ED" w:rsidRPr="00CC3ECC">
        <w:rPr>
          <w:rFonts w:ascii="Times New Roman" w:hAnsi="Times New Roman" w:cs="Times New Roman"/>
          <w:sz w:val="24"/>
          <w:szCs w:val="24"/>
        </w:rPr>
        <w:t xml:space="preserve">% u odnosu na planirane, </w:t>
      </w:r>
      <w:r w:rsidR="0040747C" w:rsidRPr="00CC3ECC">
        <w:rPr>
          <w:rFonts w:ascii="Times New Roman" w:hAnsi="Times New Roman" w:cs="Times New Roman"/>
          <w:sz w:val="24"/>
          <w:szCs w:val="24"/>
        </w:rPr>
        <w:t xml:space="preserve">najveći indeks izvršenja je u okviru </w:t>
      </w:r>
      <w:r w:rsidR="00EA79ED" w:rsidRPr="00CC3ECC">
        <w:rPr>
          <w:rFonts w:ascii="Times New Roman" w:hAnsi="Times New Roman" w:cs="Times New Roman"/>
          <w:sz w:val="24"/>
          <w:szCs w:val="24"/>
        </w:rPr>
        <w:t xml:space="preserve">poreza </w:t>
      </w:r>
      <w:r w:rsidR="0040747C" w:rsidRPr="00CC3ECC">
        <w:rPr>
          <w:rFonts w:ascii="Times New Roman" w:hAnsi="Times New Roman" w:cs="Times New Roman"/>
          <w:sz w:val="24"/>
          <w:szCs w:val="24"/>
        </w:rPr>
        <w:t>na dohodak</w:t>
      </w:r>
      <w:r w:rsidR="00890F00">
        <w:rPr>
          <w:rFonts w:ascii="Times New Roman" w:hAnsi="Times New Roman" w:cs="Times New Roman"/>
          <w:sz w:val="24"/>
          <w:szCs w:val="24"/>
        </w:rPr>
        <w:t>, poreza na imovinu</w:t>
      </w:r>
      <w:r w:rsidR="004C048D">
        <w:rPr>
          <w:rFonts w:ascii="Times New Roman" w:hAnsi="Times New Roman" w:cs="Times New Roman"/>
          <w:sz w:val="24"/>
          <w:szCs w:val="24"/>
        </w:rPr>
        <w:t xml:space="preserve">. </w:t>
      </w:r>
      <w:r w:rsidR="000A7482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216D59">
        <w:rPr>
          <w:rFonts w:ascii="Times New Roman" w:hAnsi="Times New Roman" w:cs="Times New Roman"/>
          <w:sz w:val="24"/>
          <w:szCs w:val="24"/>
        </w:rPr>
        <w:t>pomoći iz inozemstva i od subjekata opće</w:t>
      </w:r>
      <w:r w:rsidR="00E620D3">
        <w:rPr>
          <w:rFonts w:ascii="Times New Roman" w:hAnsi="Times New Roman" w:cs="Times New Roman"/>
          <w:sz w:val="24"/>
          <w:szCs w:val="24"/>
        </w:rPr>
        <w:t>g proračuna izvršeni su 70% jer je jedna kapitalna pomoć doznačena u siječnju 2026. godine, a ne u prosincu 2025. godine kako je planirano.</w:t>
      </w:r>
    </w:p>
    <w:p w14:paraId="4E2EA7BD" w14:textId="40496C96" w:rsidR="00EA79ED" w:rsidRDefault="00CC3ECC" w:rsidP="00CC3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79ED" w:rsidRPr="00CC3ECC">
        <w:rPr>
          <w:rFonts w:ascii="Times New Roman" w:hAnsi="Times New Roman" w:cs="Times New Roman"/>
          <w:sz w:val="24"/>
          <w:szCs w:val="24"/>
        </w:rPr>
        <w:t>Prihodi od poreza  izvršeni su 1</w:t>
      </w:r>
      <w:r w:rsidR="00890F00">
        <w:rPr>
          <w:rFonts w:ascii="Times New Roman" w:hAnsi="Times New Roman" w:cs="Times New Roman"/>
          <w:sz w:val="24"/>
          <w:szCs w:val="24"/>
        </w:rPr>
        <w:t>13</w:t>
      </w:r>
      <w:r w:rsidR="00EA79ED" w:rsidRPr="00CC3ECC">
        <w:rPr>
          <w:rFonts w:ascii="Times New Roman" w:hAnsi="Times New Roman" w:cs="Times New Roman"/>
          <w:sz w:val="24"/>
          <w:szCs w:val="24"/>
        </w:rPr>
        <w:t xml:space="preserve">% u odnosu na planirane. Najveći indeks izvršenja je u okviru prihoda od poreza na dohodak </w:t>
      </w:r>
      <w:r w:rsidR="00890F00">
        <w:rPr>
          <w:rFonts w:ascii="Times New Roman" w:hAnsi="Times New Roman" w:cs="Times New Roman"/>
          <w:sz w:val="24"/>
          <w:szCs w:val="24"/>
        </w:rPr>
        <w:t>od nesamostalnog rada.</w:t>
      </w:r>
      <w:r w:rsidR="00EA79ED" w:rsidRPr="00CC3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6FEA5" w14:textId="77777777" w:rsidR="00D418D9" w:rsidRPr="004C3702" w:rsidRDefault="00D418D9" w:rsidP="00D418D9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Ostvarenje po vrstama poreza: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642"/>
      </w:tblGrid>
      <w:tr w:rsidR="00D418D9" w:rsidRPr="004C3702" w14:paraId="2928B2E5" w14:textId="77777777" w:rsidTr="005F19DD">
        <w:tc>
          <w:tcPr>
            <w:tcW w:w="1129" w:type="dxa"/>
            <w:shd w:val="clear" w:color="auto" w:fill="D9D9D9" w:themeFill="background1" w:themeFillShade="D9"/>
          </w:tcPr>
          <w:p w14:paraId="4693CE64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  <w:p w14:paraId="2F61B2FD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521C5386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23BD1DB0" w14:textId="5F4B532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Ostvarenje </w:t>
            </w:r>
          </w:p>
        </w:tc>
      </w:tr>
      <w:tr w:rsidR="00D418D9" w:rsidRPr="004C3702" w14:paraId="082709F0" w14:textId="77777777" w:rsidTr="005F19DD">
        <w:tc>
          <w:tcPr>
            <w:tcW w:w="1129" w:type="dxa"/>
          </w:tcPr>
          <w:p w14:paraId="1963B962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6111</w:t>
            </w:r>
          </w:p>
        </w:tc>
        <w:tc>
          <w:tcPr>
            <w:tcW w:w="5245" w:type="dxa"/>
          </w:tcPr>
          <w:p w14:paraId="21CBB54D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Porez na dohodak od nesamostalno rada</w:t>
            </w:r>
          </w:p>
        </w:tc>
        <w:tc>
          <w:tcPr>
            <w:tcW w:w="2642" w:type="dxa"/>
          </w:tcPr>
          <w:p w14:paraId="1EF71681" w14:textId="31F8B7F6" w:rsidR="00D418D9" w:rsidRPr="004C3702" w:rsidRDefault="00080702" w:rsidP="00214849">
            <w:pPr>
              <w:tabs>
                <w:tab w:val="center" w:pos="1395"/>
                <w:tab w:val="right" w:pos="279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330.886,52</w:t>
            </w:r>
          </w:p>
        </w:tc>
      </w:tr>
      <w:tr w:rsidR="00D418D9" w:rsidRPr="004C3702" w14:paraId="5845DE70" w14:textId="77777777" w:rsidTr="005F19DD">
        <w:tc>
          <w:tcPr>
            <w:tcW w:w="1129" w:type="dxa"/>
          </w:tcPr>
          <w:p w14:paraId="5CB50311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5245" w:type="dxa"/>
          </w:tcPr>
          <w:p w14:paraId="27439CF0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Porez na dohodak od samostalnih djelatnosti</w:t>
            </w:r>
          </w:p>
        </w:tc>
        <w:tc>
          <w:tcPr>
            <w:tcW w:w="2642" w:type="dxa"/>
          </w:tcPr>
          <w:p w14:paraId="67E85D08" w14:textId="35C72B6C" w:rsidR="00D418D9" w:rsidRPr="004C3702" w:rsidRDefault="00080702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37.760,05</w:t>
            </w:r>
          </w:p>
        </w:tc>
      </w:tr>
      <w:tr w:rsidR="00D418D9" w:rsidRPr="004C3702" w14:paraId="4A993F6F" w14:textId="77777777" w:rsidTr="005F19DD">
        <w:tc>
          <w:tcPr>
            <w:tcW w:w="1129" w:type="dxa"/>
          </w:tcPr>
          <w:p w14:paraId="0B73430F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6113</w:t>
            </w:r>
          </w:p>
        </w:tc>
        <w:tc>
          <w:tcPr>
            <w:tcW w:w="5245" w:type="dxa"/>
          </w:tcPr>
          <w:p w14:paraId="5FE05E27" w14:textId="1AF54AE4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Porez na dohodak od imovine i imov. </w:t>
            </w:r>
            <w:r w:rsidR="000807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rava</w:t>
            </w:r>
          </w:p>
        </w:tc>
        <w:tc>
          <w:tcPr>
            <w:tcW w:w="2642" w:type="dxa"/>
          </w:tcPr>
          <w:p w14:paraId="3D88F7DA" w14:textId="0955CBF7" w:rsidR="00D418D9" w:rsidRPr="004C3702" w:rsidRDefault="000D7F1A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46.561,60</w:t>
            </w:r>
          </w:p>
        </w:tc>
      </w:tr>
      <w:tr w:rsidR="00D418D9" w:rsidRPr="004C3702" w14:paraId="58D159F7" w14:textId="77777777" w:rsidTr="005F19DD">
        <w:tc>
          <w:tcPr>
            <w:tcW w:w="1129" w:type="dxa"/>
          </w:tcPr>
          <w:p w14:paraId="74236BF9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6114</w:t>
            </w:r>
          </w:p>
        </w:tc>
        <w:tc>
          <w:tcPr>
            <w:tcW w:w="5245" w:type="dxa"/>
          </w:tcPr>
          <w:p w14:paraId="0DF229D1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Porez na dohodak od kapitala</w:t>
            </w:r>
          </w:p>
        </w:tc>
        <w:tc>
          <w:tcPr>
            <w:tcW w:w="2642" w:type="dxa"/>
          </w:tcPr>
          <w:p w14:paraId="1E3B023B" w14:textId="7530AA5D" w:rsidR="00D418D9" w:rsidRPr="004C3702" w:rsidRDefault="000D7F1A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20.191,67</w:t>
            </w:r>
          </w:p>
        </w:tc>
      </w:tr>
      <w:tr w:rsidR="00D418D9" w:rsidRPr="004C3702" w14:paraId="0619765A" w14:textId="77777777" w:rsidTr="005F19DD">
        <w:tc>
          <w:tcPr>
            <w:tcW w:w="1129" w:type="dxa"/>
          </w:tcPr>
          <w:p w14:paraId="72752BF9" w14:textId="385E3D8E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="000D7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1424E818" w14:textId="722F1CF0" w:rsidR="00D418D9" w:rsidRPr="004C3702" w:rsidRDefault="00A27093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18D9" w:rsidRPr="004C370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8D9" w:rsidRPr="004C3702">
              <w:rPr>
                <w:rFonts w:ascii="Times New Roman" w:hAnsi="Times New Roman" w:cs="Times New Roman"/>
                <w:sz w:val="24"/>
                <w:szCs w:val="24"/>
              </w:rPr>
              <w:t>na na dohodak po godišnjoj prijavi</w:t>
            </w:r>
          </w:p>
        </w:tc>
        <w:tc>
          <w:tcPr>
            <w:tcW w:w="2642" w:type="dxa"/>
          </w:tcPr>
          <w:p w14:paraId="66E8A547" w14:textId="599125DE" w:rsidR="00D418D9" w:rsidRPr="004C3702" w:rsidRDefault="00A27093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4.645,81</w:t>
            </w:r>
          </w:p>
        </w:tc>
      </w:tr>
      <w:tr w:rsidR="00D418D9" w:rsidRPr="004C3702" w14:paraId="56917609" w14:textId="77777777" w:rsidTr="005F19DD">
        <w:tc>
          <w:tcPr>
            <w:tcW w:w="1129" w:type="dxa"/>
          </w:tcPr>
          <w:p w14:paraId="19DE2135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6131</w:t>
            </w:r>
          </w:p>
        </w:tc>
        <w:tc>
          <w:tcPr>
            <w:tcW w:w="5245" w:type="dxa"/>
          </w:tcPr>
          <w:p w14:paraId="79AC9ECE" w14:textId="172CDB3A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Porez na </w:t>
            </w:r>
            <w:r w:rsidR="00125B30">
              <w:rPr>
                <w:rFonts w:ascii="Times New Roman" w:hAnsi="Times New Roman" w:cs="Times New Roman"/>
                <w:sz w:val="24"/>
                <w:szCs w:val="24"/>
              </w:rPr>
              <w:t>nekretnine</w:t>
            </w:r>
          </w:p>
        </w:tc>
        <w:tc>
          <w:tcPr>
            <w:tcW w:w="2642" w:type="dxa"/>
          </w:tcPr>
          <w:p w14:paraId="6E5539A6" w14:textId="50AC279B" w:rsidR="00D418D9" w:rsidRPr="004C3702" w:rsidRDefault="00125B30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22.783,88</w:t>
            </w:r>
          </w:p>
        </w:tc>
      </w:tr>
      <w:tr w:rsidR="00D418D9" w:rsidRPr="004C3702" w14:paraId="2501A522" w14:textId="77777777" w:rsidTr="005F19DD">
        <w:tc>
          <w:tcPr>
            <w:tcW w:w="1129" w:type="dxa"/>
          </w:tcPr>
          <w:p w14:paraId="256A244B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6134</w:t>
            </w:r>
          </w:p>
        </w:tc>
        <w:tc>
          <w:tcPr>
            <w:tcW w:w="5245" w:type="dxa"/>
          </w:tcPr>
          <w:p w14:paraId="73FF0FBC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Porez na promet nekretnina</w:t>
            </w:r>
          </w:p>
        </w:tc>
        <w:tc>
          <w:tcPr>
            <w:tcW w:w="2642" w:type="dxa"/>
          </w:tcPr>
          <w:p w14:paraId="1B0B8BDF" w14:textId="7B86BD3F" w:rsidR="00D418D9" w:rsidRPr="004C3702" w:rsidRDefault="00697157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132.497,86</w:t>
            </w:r>
          </w:p>
        </w:tc>
      </w:tr>
      <w:tr w:rsidR="00D418D9" w:rsidRPr="004C3702" w14:paraId="4738FC89" w14:textId="77777777" w:rsidTr="005F19DD">
        <w:tc>
          <w:tcPr>
            <w:tcW w:w="1129" w:type="dxa"/>
          </w:tcPr>
          <w:p w14:paraId="4B28C8E4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6142</w:t>
            </w:r>
          </w:p>
        </w:tc>
        <w:tc>
          <w:tcPr>
            <w:tcW w:w="5245" w:type="dxa"/>
          </w:tcPr>
          <w:p w14:paraId="76AFADDD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Porez na potrošnju </w:t>
            </w:r>
          </w:p>
        </w:tc>
        <w:tc>
          <w:tcPr>
            <w:tcW w:w="2642" w:type="dxa"/>
          </w:tcPr>
          <w:p w14:paraId="4CADEBB9" w14:textId="285D0166" w:rsidR="00D418D9" w:rsidRPr="004C3702" w:rsidRDefault="00697157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18.139,76</w:t>
            </w:r>
          </w:p>
        </w:tc>
      </w:tr>
      <w:tr w:rsidR="00D418D9" w:rsidRPr="004C3702" w14:paraId="4CCD7532" w14:textId="77777777" w:rsidTr="005F19DD">
        <w:tc>
          <w:tcPr>
            <w:tcW w:w="1129" w:type="dxa"/>
          </w:tcPr>
          <w:p w14:paraId="703CF5EC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5CFC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03324D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661A" w14:textId="77777777" w:rsidR="00D418D9" w:rsidRPr="004C3702" w:rsidRDefault="00D418D9" w:rsidP="00F0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642" w:type="dxa"/>
          </w:tcPr>
          <w:p w14:paraId="3532BAC7" w14:textId="77777777" w:rsidR="00D418D9" w:rsidRPr="004C3702" w:rsidRDefault="00D418D9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43B22" w14:textId="60674EBD" w:rsidR="00D418D9" w:rsidRPr="004C3702" w:rsidRDefault="00214849" w:rsidP="00214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613.467,15</w:t>
            </w:r>
          </w:p>
        </w:tc>
      </w:tr>
    </w:tbl>
    <w:p w14:paraId="142D3BA6" w14:textId="77777777" w:rsidR="00D418D9" w:rsidRDefault="00D418D9" w:rsidP="00CC3E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D9702" w14:textId="77777777" w:rsidR="00D418D9" w:rsidRDefault="00D418D9" w:rsidP="00CC3E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686DE" w14:textId="338DF616" w:rsidR="0040747C" w:rsidRDefault="00E620D3" w:rsidP="00CC3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Prihodi od pomoći iz inozemstva i od subjekata općeg proračuna izvršeni su 70% jer je jedna kapitalna pomoć doznačena u siječnju 2026. godine, a ne u prosincu 2025. godine kako je planirano.</w:t>
      </w:r>
    </w:p>
    <w:p w14:paraId="18B61EF0" w14:textId="77777777" w:rsidR="000E43A7" w:rsidRPr="004C3702" w:rsidRDefault="000E43A7" w:rsidP="000E43A7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Ostvarenje po vrstama prihoda: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642"/>
      </w:tblGrid>
      <w:tr w:rsidR="000E43A7" w:rsidRPr="004C3702" w14:paraId="092F82BE" w14:textId="77777777" w:rsidTr="005F19DD">
        <w:tc>
          <w:tcPr>
            <w:tcW w:w="1129" w:type="dxa"/>
            <w:shd w:val="clear" w:color="auto" w:fill="D9D9D9" w:themeFill="background1" w:themeFillShade="D9"/>
          </w:tcPr>
          <w:p w14:paraId="1DCD922A" w14:textId="77777777" w:rsidR="000E43A7" w:rsidRPr="004C3702" w:rsidRDefault="000E43A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  <w:p w14:paraId="726D18D7" w14:textId="77777777" w:rsidR="000E43A7" w:rsidRPr="004C3702" w:rsidRDefault="000E43A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5E5EEA2A" w14:textId="77777777" w:rsidR="000E43A7" w:rsidRPr="004C3702" w:rsidRDefault="000E43A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A4A230C" w14:textId="17AE8161" w:rsidR="000E43A7" w:rsidRPr="004C3702" w:rsidRDefault="000E43A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Ostvarenje </w:t>
            </w:r>
          </w:p>
        </w:tc>
      </w:tr>
      <w:tr w:rsidR="000E43A7" w:rsidRPr="004C3702" w14:paraId="2F2A25F2" w14:textId="77777777" w:rsidTr="005F19DD">
        <w:tc>
          <w:tcPr>
            <w:tcW w:w="1129" w:type="dxa"/>
          </w:tcPr>
          <w:p w14:paraId="7EB75E67" w14:textId="77777777" w:rsidR="000E43A7" w:rsidRPr="004C3702" w:rsidRDefault="000E43A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6331</w:t>
            </w:r>
          </w:p>
        </w:tc>
        <w:tc>
          <w:tcPr>
            <w:tcW w:w="5245" w:type="dxa"/>
          </w:tcPr>
          <w:p w14:paraId="5BAD9C23" w14:textId="77777777" w:rsidR="000E43A7" w:rsidRPr="004C3702" w:rsidRDefault="000E43A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Tekuće pomoći proračunu iz drugih proračuna</w:t>
            </w:r>
          </w:p>
        </w:tc>
        <w:tc>
          <w:tcPr>
            <w:tcW w:w="2642" w:type="dxa"/>
          </w:tcPr>
          <w:p w14:paraId="2E4BDB55" w14:textId="54C8410D" w:rsidR="000E43A7" w:rsidRPr="004C3702" w:rsidRDefault="003F1730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32.616,00</w:t>
            </w:r>
          </w:p>
        </w:tc>
      </w:tr>
      <w:tr w:rsidR="00042FEA" w:rsidRPr="004C3702" w14:paraId="676A7715" w14:textId="77777777" w:rsidTr="005F19DD">
        <w:tc>
          <w:tcPr>
            <w:tcW w:w="1129" w:type="dxa"/>
          </w:tcPr>
          <w:p w14:paraId="46C6A7EB" w14:textId="3DE2A1AB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6332 </w:t>
            </w:r>
          </w:p>
        </w:tc>
        <w:tc>
          <w:tcPr>
            <w:tcW w:w="5245" w:type="dxa"/>
          </w:tcPr>
          <w:p w14:paraId="4E24BDB5" w14:textId="260B5EB4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Kapitalne 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pomoći proračunu iz drugih proračuna</w:t>
            </w:r>
          </w:p>
        </w:tc>
        <w:tc>
          <w:tcPr>
            <w:tcW w:w="2642" w:type="dxa"/>
          </w:tcPr>
          <w:p w14:paraId="728EB2B3" w14:textId="7012FC3A" w:rsidR="00042FEA" w:rsidRDefault="005F19DD" w:rsidP="00042F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182.624,43</w:t>
            </w:r>
          </w:p>
        </w:tc>
      </w:tr>
      <w:tr w:rsidR="00042FEA" w:rsidRPr="004C3702" w14:paraId="7DCCA806" w14:textId="77777777" w:rsidTr="005F19DD">
        <w:tc>
          <w:tcPr>
            <w:tcW w:w="1129" w:type="dxa"/>
          </w:tcPr>
          <w:p w14:paraId="7EFE7520" w14:textId="77777777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6342</w:t>
            </w:r>
          </w:p>
        </w:tc>
        <w:tc>
          <w:tcPr>
            <w:tcW w:w="5245" w:type="dxa"/>
          </w:tcPr>
          <w:p w14:paraId="02E04005" w14:textId="77777777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Kapitalne pomoći od izvan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ačunskih korisnika</w:t>
            </w:r>
          </w:p>
        </w:tc>
        <w:tc>
          <w:tcPr>
            <w:tcW w:w="2642" w:type="dxa"/>
          </w:tcPr>
          <w:p w14:paraId="7004A8CD" w14:textId="0DDB6151" w:rsidR="00042FEA" w:rsidRPr="004C3702" w:rsidRDefault="005B063F" w:rsidP="00042F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1.440,00</w:t>
            </w:r>
          </w:p>
        </w:tc>
      </w:tr>
      <w:tr w:rsidR="005B063F" w:rsidRPr="004C3702" w14:paraId="38556BBF" w14:textId="77777777" w:rsidTr="005F19DD">
        <w:tc>
          <w:tcPr>
            <w:tcW w:w="1129" w:type="dxa"/>
          </w:tcPr>
          <w:p w14:paraId="02F32F7C" w14:textId="5175A792" w:rsidR="005B063F" w:rsidRPr="004C3702" w:rsidRDefault="005B063F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6361</w:t>
            </w:r>
          </w:p>
        </w:tc>
        <w:tc>
          <w:tcPr>
            <w:tcW w:w="5245" w:type="dxa"/>
          </w:tcPr>
          <w:p w14:paraId="46715FDE" w14:textId="7BC3A66E" w:rsidR="005B063F" w:rsidRPr="004C3702" w:rsidRDefault="005B063F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proračunskim korisnicima iz proračuna koji im nije nadležan</w:t>
            </w:r>
          </w:p>
        </w:tc>
        <w:tc>
          <w:tcPr>
            <w:tcW w:w="2642" w:type="dxa"/>
          </w:tcPr>
          <w:p w14:paraId="4A0C8515" w14:textId="77777777" w:rsidR="005B063F" w:rsidRDefault="005B063F" w:rsidP="00042F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ADDB" w14:textId="1CB7748A" w:rsidR="005B063F" w:rsidRDefault="005B063F" w:rsidP="00042F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939,00</w:t>
            </w:r>
          </w:p>
        </w:tc>
      </w:tr>
      <w:tr w:rsidR="00042FEA" w:rsidRPr="004C3702" w14:paraId="4CE99560" w14:textId="77777777" w:rsidTr="005F19DD">
        <w:tc>
          <w:tcPr>
            <w:tcW w:w="1129" w:type="dxa"/>
          </w:tcPr>
          <w:p w14:paraId="2F56E026" w14:textId="77777777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CFEC" w14:textId="77777777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F25A77" w14:textId="77777777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56E1" w14:textId="77777777" w:rsidR="00042FEA" w:rsidRPr="004C3702" w:rsidRDefault="00042FEA" w:rsidP="0004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642" w:type="dxa"/>
          </w:tcPr>
          <w:p w14:paraId="0562D2CE" w14:textId="77777777" w:rsidR="00042FEA" w:rsidRPr="004C3702" w:rsidRDefault="00042FEA" w:rsidP="00042F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DCCE1" w14:textId="21A972C1" w:rsidR="00042FEA" w:rsidRPr="004C3702" w:rsidRDefault="005B063F" w:rsidP="00042F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217.619,43</w:t>
            </w:r>
          </w:p>
        </w:tc>
      </w:tr>
    </w:tbl>
    <w:p w14:paraId="38146236" w14:textId="77777777" w:rsidR="000E43A7" w:rsidRPr="004C3702" w:rsidRDefault="000E43A7" w:rsidP="000E43A7">
      <w:pPr>
        <w:rPr>
          <w:rFonts w:ascii="Times New Roman" w:hAnsi="Times New Roman" w:cs="Times New Roman"/>
          <w:sz w:val="24"/>
          <w:szCs w:val="24"/>
        </w:rPr>
      </w:pPr>
    </w:p>
    <w:p w14:paraId="7AB54F74" w14:textId="77777777" w:rsidR="000E43A7" w:rsidRDefault="000E43A7" w:rsidP="00CC3E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12B05" w14:textId="77777777" w:rsidR="00EA719F" w:rsidRPr="00CC3ECC" w:rsidRDefault="00EA719F" w:rsidP="00CC3E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E6E3C" w14:textId="37A4FB57" w:rsidR="0040747C" w:rsidRDefault="00CC3ECC" w:rsidP="00CC3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47C" w:rsidRPr="00CC3ECC">
        <w:rPr>
          <w:rFonts w:ascii="Times New Roman" w:hAnsi="Times New Roman" w:cs="Times New Roman"/>
          <w:sz w:val="24"/>
          <w:szCs w:val="24"/>
        </w:rPr>
        <w:t>Prihodi od imovine izvr</w:t>
      </w:r>
      <w:r w:rsidR="00922E9A" w:rsidRPr="00CC3ECC">
        <w:rPr>
          <w:rFonts w:ascii="Times New Roman" w:hAnsi="Times New Roman" w:cs="Times New Roman"/>
          <w:sz w:val="24"/>
          <w:szCs w:val="24"/>
        </w:rPr>
        <w:t>š</w:t>
      </w:r>
      <w:r w:rsidR="0040747C" w:rsidRPr="00CC3ECC">
        <w:rPr>
          <w:rFonts w:ascii="Times New Roman" w:hAnsi="Times New Roman" w:cs="Times New Roman"/>
          <w:sz w:val="24"/>
          <w:szCs w:val="24"/>
        </w:rPr>
        <w:t xml:space="preserve">eni su </w:t>
      </w:r>
      <w:r w:rsidR="00E620D3">
        <w:rPr>
          <w:rFonts w:ascii="Times New Roman" w:hAnsi="Times New Roman" w:cs="Times New Roman"/>
          <w:sz w:val="24"/>
          <w:szCs w:val="24"/>
        </w:rPr>
        <w:t>85</w:t>
      </w:r>
      <w:r w:rsidR="0040747C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573EAC74" w14:textId="77777777" w:rsidR="00923671" w:rsidRPr="004C3702" w:rsidRDefault="00923671" w:rsidP="00923671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Ostvarenje po vrstama prihoda: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923671" w:rsidRPr="004C3702" w14:paraId="7B755F6B" w14:textId="77777777" w:rsidTr="00253EF0">
        <w:tc>
          <w:tcPr>
            <w:tcW w:w="1129" w:type="dxa"/>
            <w:shd w:val="clear" w:color="auto" w:fill="D9D9D9" w:themeFill="background1" w:themeFillShade="D9"/>
          </w:tcPr>
          <w:p w14:paraId="1A6ACBD7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  <w:p w14:paraId="0E1AB30D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3153B930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3F43A81" w14:textId="575F6CB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Ostvarenje </w:t>
            </w:r>
          </w:p>
        </w:tc>
      </w:tr>
      <w:tr w:rsidR="00923671" w:rsidRPr="004C3702" w14:paraId="77C23508" w14:textId="77777777" w:rsidTr="00253EF0">
        <w:tc>
          <w:tcPr>
            <w:tcW w:w="1129" w:type="dxa"/>
          </w:tcPr>
          <w:p w14:paraId="60DA961D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6413</w:t>
            </w:r>
          </w:p>
        </w:tc>
        <w:tc>
          <w:tcPr>
            <w:tcW w:w="4881" w:type="dxa"/>
          </w:tcPr>
          <w:p w14:paraId="3CBDB552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Kamate na depozite po viđenju</w:t>
            </w:r>
          </w:p>
        </w:tc>
        <w:tc>
          <w:tcPr>
            <w:tcW w:w="3006" w:type="dxa"/>
          </w:tcPr>
          <w:p w14:paraId="54E1DC03" w14:textId="43AE6576" w:rsidR="00923671" w:rsidRPr="004C3702" w:rsidRDefault="005B063F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</w:tr>
      <w:tr w:rsidR="00923671" w:rsidRPr="004C3702" w14:paraId="73707F8A" w14:textId="77777777" w:rsidTr="00253EF0">
        <w:tc>
          <w:tcPr>
            <w:tcW w:w="1129" w:type="dxa"/>
          </w:tcPr>
          <w:p w14:paraId="70795ADB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6421</w:t>
            </w:r>
          </w:p>
        </w:tc>
        <w:tc>
          <w:tcPr>
            <w:tcW w:w="4881" w:type="dxa"/>
          </w:tcPr>
          <w:p w14:paraId="7A9F7393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Naknada za koncesije</w:t>
            </w:r>
          </w:p>
        </w:tc>
        <w:tc>
          <w:tcPr>
            <w:tcW w:w="3006" w:type="dxa"/>
          </w:tcPr>
          <w:p w14:paraId="5221BD85" w14:textId="134D5D49" w:rsidR="00923671" w:rsidRPr="004C3702" w:rsidRDefault="00AB4637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32.571,00</w:t>
            </w:r>
          </w:p>
        </w:tc>
      </w:tr>
      <w:tr w:rsidR="00923671" w:rsidRPr="004C3702" w14:paraId="6AD622FB" w14:textId="77777777" w:rsidTr="00253EF0">
        <w:tc>
          <w:tcPr>
            <w:tcW w:w="1129" w:type="dxa"/>
          </w:tcPr>
          <w:p w14:paraId="3DD9C45F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6422</w:t>
            </w:r>
          </w:p>
        </w:tc>
        <w:tc>
          <w:tcPr>
            <w:tcW w:w="4881" w:type="dxa"/>
          </w:tcPr>
          <w:p w14:paraId="664F586F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Prihodi od zakupa i iznajmljivanja imovine</w:t>
            </w:r>
          </w:p>
        </w:tc>
        <w:tc>
          <w:tcPr>
            <w:tcW w:w="3006" w:type="dxa"/>
          </w:tcPr>
          <w:p w14:paraId="0D00980F" w14:textId="38CD9B62" w:rsidR="00923671" w:rsidRPr="004C3702" w:rsidRDefault="00AB4637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30.512,39</w:t>
            </w:r>
          </w:p>
        </w:tc>
      </w:tr>
      <w:tr w:rsidR="00923671" w:rsidRPr="004C3702" w14:paraId="51F98812" w14:textId="77777777" w:rsidTr="00253EF0">
        <w:tc>
          <w:tcPr>
            <w:tcW w:w="1129" w:type="dxa"/>
          </w:tcPr>
          <w:p w14:paraId="3408E57B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6423</w:t>
            </w:r>
          </w:p>
        </w:tc>
        <w:tc>
          <w:tcPr>
            <w:tcW w:w="4881" w:type="dxa"/>
          </w:tcPr>
          <w:p w14:paraId="5458618B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 za korištenje nefinancijske imovine</w:t>
            </w:r>
          </w:p>
        </w:tc>
        <w:tc>
          <w:tcPr>
            <w:tcW w:w="3006" w:type="dxa"/>
          </w:tcPr>
          <w:p w14:paraId="5DA304BC" w14:textId="7EFBBED6" w:rsidR="00923671" w:rsidRPr="004C3702" w:rsidRDefault="00BB2473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16.363,52</w:t>
            </w:r>
          </w:p>
        </w:tc>
      </w:tr>
      <w:tr w:rsidR="00BB2473" w:rsidRPr="004C3702" w14:paraId="21304A74" w14:textId="77777777" w:rsidTr="00253EF0">
        <w:tc>
          <w:tcPr>
            <w:tcW w:w="1129" w:type="dxa"/>
          </w:tcPr>
          <w:p w14:paraId="0D7C642F" w14:textId="40397733" w:rsidR="00BB2473" w:rsidRPr="004C3702" w:rsidRDefault="00BB2473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6429</w:t>
            </w:r>
          </w:p>
        </w:tc>
        <w:tc>
          <w:tcPr>
            <w:tcW w:w="4881" w:type="dxa"/>
          </w:tcPr>
          <w:p w14:paraId="781C0E93" w14:textId="69390681" w:rsidR="00BB2473" w:rsidRPr="004C3702" w:rsidRDefault="00BB2473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prihodi od nefinancijske imovine</w:t>
            </w:r>
          </w:p>
        </w:tc>
        <w:tc>
          <w:tcPr>
            <w:tcW w:w="3006" w:type="dxa"/>
          </w:tcPr>
          <w:p w14:paraId="676823BF" w14:textId="1E158439" w:rsidR="00BB2473" w:rsidRDefault="006B19CF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1.942,92</w:t>
            </w:r>
          </w:p>
        </w:tc>
      </w:tr>
      <w:tr w:rsidR="00923671" w:rsidRPr="004C3702" w14:paraId="4C9C7A58" w14:textId="77777777" w:rsidTr="00253EF0">
        <w:tc>
          <w:tcPr>
            <w:tcW w:w="1129" w:type="dxa"/>
          </w:tcPr>
          <w:p w14:paraId="6CE60A54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3904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14:paraId="0BC33C14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474C6" w14:textId="77777777" w:rsidR="00923671" w:rsidRPr="004C3702" w:rsidRDefault="00923671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06" w:type="dxa"/>
          </w:tcPr>
          <w:p w14:paraId="6660C1E5" w14:textId="77777777" w:rsidR="00923671" w:rsidRPr="004C3702" w:rsidRDefault="00923671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5299" w14:textId="3E6C7126" w:rsidR="00923671" w:rsidRPr="004C3702" w:rsidRDefault="006B19CF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81.398,10</w:t>
            </w:r>
          </w:p>
        </w:tc>
      </w:tr>
    </w:tbl>
    <w:p w14:paraId="2A0E55BE" w14:textId="77777777" w:rsidR="00923671" w:rsidRPr="004C3702" w:rsidRDefault="00923671" w:rsidP="00923671">
      <w:pPr>
        <w:rPr>
          <w:rFonts w:ascii="Times New Roman" w:hAnsi="Times New Roman" w:cs="Times New Roman"/>
          <w:sz w:val="24"/>
          <w:szCs w:val="24"/>
        </w:rPr>
      </w:pPr>
    </w:p>
    <w:p w14:paraId="00C31664" w14:textId="77777777" w:rsidR="00923671" w:rsidRPr="00CC3ECC" w:rsidRDefault="00923671" w:rsidP="00CC3E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F2564" w14:textId="77777777" w:rsidR="009E43E8" w:rsidRDefault="00CC3ECC" w:rsidP="00CC3E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EE3D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Prihodi od upravnih i administr</w:t>
      </w:r>
      <w:r w:rsidR="009E43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ativnih </w:t>
      </w:r>
      <w:r w:rsidR="00EE3D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pristojbi</w:t>
      </w:r>
      <w:r w:rsidR="009E43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pristojbi po posebnim propisima i            </w:t>
      </w:r>
    </w:p>
    <w:p w14:paraId="59DB43C5" w14:textId="64B5820B" w:rsidR="00DA302C" w:rsidRDefault="009E43E8" w:rsidP="00CC3E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Naknada izvršeni su </w:t>
      </w:r>
      <w:r w:rsidR="00D213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92 %</w:t>
      </w:r>
    </w:p>
    <w:p w14:paraId="4E2BE51D" w14:textId="77777777" w:rsidR="00D13C7E" w:rsidRPr="004C3702" w:rsidRDefault="00D13C7E" w:rsidP="00D13C7E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Ostvarenje po vrstama prihoda: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D13C7E" w:rsidRPr="004C3702" w14:paraId="09A7E7B1" w14:textId="77777777" w:rsidTr="00253EF0">
        <w:tc>
          <w:tcPr>
            <w:tcW w:w="1129" w:type="dxa"/>
            <w:shd w:val="clear" w:color="auto" w:fill="D9D9D9" w:themeFill="background1" w:themeFillShade="D9"/>
          </w:tcPr>
          <w:p w14:paraId="0501682C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  <w:p w14:paraId="22062346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6083EC40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00B3974" w14:textId="10D67695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Ostvarenje </w:t>
            </w:r>
          </w:p>
        </w:tc>
      </w:tr>
      <w:tr w:rsidR="00D13C7E" w:rsidRPr="004C3702" w14:paraId="035CB6DD" w14:textId="77777777" w:rsidTr="00253EF0">
        <w:tc>
          <w:tcPr>
            <w:tcW w:w="1129" w:type="dxa"/>
          </w:tcPr>
          <w:p w14:paraId="09702EE5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6514</w:t>
            </w:r>
          </w:p>
        </w:tc>
        <w:tc>
          <w:tcPr>
            <w:tcW w:w="4881" w:type="dxa"/>
          </w:tcPr>
          <w:p w14:paraId="2FC3C682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Ostale pristojbe i naknade</w:t>
            </w:r>
          </w:p>
        </w:tc>
        <w:tc>
          <w:tcPr>
            <w:tcW w:w="3006" w:type="dxa"/>
          </w:tcPr>
          <w:p w14:paraId="04A32F5D" w14:textId="17F23F06" w:rsidR="00D13C7E" w:rsidRPr="004C3702" w:rsidRDefault="006B19CF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13.152,99</w:t>
            </w:r>
          </w:p>
        </w:tc>
      </w:tr>
      <w:tr w:rsidR="00D13C7E" w:rsidRPr="004C3702" w14:paraId="1340CB5A" w14:textId="77777777" w:rsidTr="00253EF0">
        <w:tc>
          <w:tcPr>
            <w:tcW w:w="1129" w:type="dxa"/>
          </w:tcPr>
          <w:p w14:paraId="16DFF8FB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6526</w:t>
            </w:r>
          </w:p>
        </w:tc>
        <w:tc>
          <w:tcPr>
            <w:tcW w:w="4881" w:type="dxa"/>
          </w:tcPr>
          <w:p w14:paraId="295F6D9B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Ostali nespomenuti prihodi </w:t>
            </w:r>
          </w:p>
        </w:tc>
        <w:tc>
          <w:tcPr>
            <w:tcW w:w="3006" w:type="dxa"/>
          </w:tcPr>
          <w:p w14:paraId="4CFCA488" w14:textId="23D2A570" w:rsidR="00D13C7E" w:rsidRPr="004C3702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29.671,36</w:t>
            </w:r>
          </w:p>
        </w:tc>
      </w:tr>
      <w:tr w:rsidR="00D13C7E" w:rsidRPr="004C3702" w14:paraId="02541AF3" w14:textId="77777777" w:rsidTr="00253EF0">
        <w:tc>
          <w:tcPr>
            <w:tcW w:w="1129" w:type="dxa"/>
          </w:tcPr>
          <w:p w14:paraId="37C5FC49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6531</w:t>
            </w:r>
          </w:p>
        </w:tc>
        <w:tc>
          <w:tcPr>
            <w:tcW w:w="4881" w:type="dxa"/>
          </w:tcPr>
          <w:p w14:paraId="416C4606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Komunalni doprinosi</w:t>
            </w:r>
          </w:p>
        </w:tc>
        <w:tc>
          <w:tcPr>
            <w:tcW w:w="3006" w:type="dxa"/>
          </w:tcPr>
          <w:p w14:paraId="71C73549" w14:textId="758D83A8" w:rsidR="00D13C7E" w:rsidRPr="004C3702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13.051,11</w:t>
            </w:r>
          </w:p>
        </w:tc>
      </w:tr>
      <w:tr w:rsidR="00D13C7E" w:rsidRPr="004C3702" w14:paraId="7A743DED" w14:textId="77777777" w:rsidTr="00253EF0">
        <w:tc>
          <w:tcPr>
            <w:tcW w:w="1129" w:type="dxa"/>
          </w:tcPr>
          <w:p w14:paraId="6F9A7F44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6532</w:t>
            </w:r>
          </w:p>
        </w:tc>
        <w:tc>
          <w:tcPr>
            <w:tcW w:w="4881" w:type="dxa"/>
          </w:tcPr>
          <w:p w14:paraId="15114D3E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Komunalne naknade</w:t>
            </w:r>
          </w:p>
        </w:tc>
        <w:tc>
          <w:tcPr>
            <w:tcW w:w="3006" w:type="dxa"/>
          </w:tcPr>
          <w:p w14:paraId="53CCFF8A" w14:textId="645D58A6" w:rsidR="00D13C7E" w:rsidRPr="004C3702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44.620,68</w:t>
            </w:r>
          </w:p>
        </w:tc>
      </w:tr>
      <w:tr w:rsidR="00D13C7E" w:rsidRPr="004C3702" w14:paraId="131EB349" w14:textId="77777777" w:rsidTr="00253EF0">
        <w:tc>
          <w:tcPr>
            <w:tcW w:w="1129" w:type="dxa"/>
          </w:tcPr>
          <w:p w14:paraId="5878A369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1C5CB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ADBDA2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D53C" w14:textId="77777777" w:rsidR="00D13C7E" w:rsidRPr="004C3702" w:rsidRDefault="00D13C7E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06" w:type="dxa"/>
          </w:tcPr>
          <w:p w14:paraId="0911090F" w14:textId="77777777" w:rsidR="00D13C7E" w:rsidRPr="004C3702" w:rsidRDefault="00D13C7E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54902" w14:textId="11AB6071" w:rsidR="00D13C7E" w:rsidRPr="004C3702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100.496,14</w:t>
            </w:r>
          </w:p>
        </w:tc>
      </w:tr>
    </w:tbl>
    <w:p w14:paraId="1BD0BE2E" w14:textId="77777777" w:rsidR="00D13C7E" w:rsidRPr="004C3702" w:rsidRDefault="00D13C7E" w:rsidP="00D13C7E">
      <w:pPr>
        <w:rPr>
          <w:rFonts w:ascii="Times New Roman" w:hAnsi="Times New Roman" w:cs="Times New Roman"/>
          <w:sz w:val="24"/>
          <w:szCs w:val="24"/>
        </w:rPr>
      </w:pPr>
    </w:p>
    <w:p w14:paraId="7D76F096" w14:textId="77777777" w:rsidR="00D13C7E" w:rsidRPr="00CC3ECC" w:rsidRDefault="00D13C7E" w:rsidP="00CC3E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BD2832" w14:textId="77777777" w:rsidR="00EA79ED" w:rsidRPr="00CC3ECC" w:rsidRDefault="00EA79ED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A22914" w14:textId="74E43E5D" w:rsidR="00922E9A" w:rsidRDefault="00CC3ECC" w:rsidP="00CC3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Kazne, upravne mjere i ostali prihodi izvršeni su </w:t>
      </w:r>
      <w:r w:rsidR="00D21353">
        <w:rPr>
          <w:rFonts w:ascii="Times New Roman" w:hAnsi="Times New Roman" w:cs="Times New Roman"/>
          <w:sz w:val="24"/>
          <w:szCs w:val="24"/>
        </w:rPr>
        <w:t>98</w:t>
      </w:r>
      <w:r w:rsidR="00922E9A" w:rsidRPr="00CC3ECC">
        <w:rPr>
          <w:rFonts w:ascii="Times New Roman" w:hAnsi="Times New Roman" w:cs="Times New Roman"/>
          <w:sz w:val="24"/>
          <w:szCs w:val="24"/>
        </w:rPr>
        <w:t>%</w:t>
      </w:r>
      <w:r w:rsidR="00EA79ED" w:rsidRPr="00CC3ECC">
        <w:rPr>
          <w:rFonts w:ascii="Times New Roman" w:hAnsi="Times New Roman" w:cs="Times New Roman"/>
          <w:sz w:val="24"/>
          <w:szCs w:val="24"/>
        </w:rPr>
        <w:t>.</w:t>
      </w:r>
    </w:p>
    <w:p w14:paraId="2F2B17F0" w14:textId="77777777" w:rsidR="008E2C54" w:rsidRPr="004C3702" w:rsidRDefault="008E2C54" w:rsidP="008E2C54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 xml:space="preserve">Kazne, upravne mjere i ostali prihodi izvršeni su 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4C3702">
        <w:rPr>
          <w:rFonts w:ascii="Times New Roman" w:hAnsi="Times New Roman" w:cs="Times New Roman"/>
          <w:sz w:val="24"/>
          <w:szCs w:val="24"/>
        </w:rPr>
        <w:t>%.</w:t>
      </w:r>
    </w:p>
    <w:p w14:paraId="23421FF7" w14:textId="77777777" w:rsidR="008E2C54" w:rsidRPr="004C3702" w:rsidRDefault="008E2C54" w:rsidP="008E2C54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Ostvarenje po vrstama prihoda: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8E2C54" w:rsidRPr="004C3702" w14:paraId="4565D303" w14:textId="77777777" w:rsidTr="00253EF0">
        <w:tc>
          <w:tcPr>
            <w:tcW w:w="1129" w:type="dxa"/>
            <w:shd w:val="clear" w:color="auto" w:fill="D9D9D9" w:themeFill="background1" w:themeFillShade="D9"/>
          </w:tcPr>
          <w:p w14:paraId="3AD10F09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  <w:p w14:paraId="013AB0FA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43A41F17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A499F02" w14:textId="1A902B45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Ostvarenje </w:t>
            </w:r>
          </w:p>
        </w:tc>
      </w:tr>
      <w:tr w:rsidR="008E2C54" w:rsidRPr="004C3702" w14:paraId="11041B16" w14:textId="77777777" w:rsidTr="00253EF0">
        <w:tc>
          <w:tcPr>
            <w:tcW w:w="1129" w:type="dxa"/>
          </w:tcPr>
          <w:p w14:paraId="6E5CF846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6819</w:t>
            </w:r>
          </w:p>
        </w:tc>
        <w:tc>
          <w:tcPr>
            <w:tcW w:w="4881" w:type="dxa"/>
          </w:tcPr>
          <w:p w14:paraId="7FAD7BA1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Ostale kazne</w:t>
            </w:r>
          </w:p>
        </w:tc>
        <w:tc>
          <w:tcPr>
            <w:tcW w:w="3006" w:type="dxa"/>
          </w:tcPr>
          <w:p w14:paraId="3D6CC666" w14:textId="33FC3DBE" w:rsidR="008E2C54" w:rsidRPr="004C3702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687,26</w:t>
            </w:r>
          </w:p>
        </w:tc>
      </w:tr>
      <w:tr w:rsidR="008E2C54" w:rsidRPr="004C3702" w14:paraId="005018BD" w14:textId="77777777" w:rsidTr="00253EF0">
        <w:tc>
          <w:tcPr>
            <w:tcW w:w="1129" w:type="dxa"/>
          </w:tcPr>
          <w:p w14:paraId="658FE146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22CE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14:paraId="41BE13A6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4A6D7" w14:textId="77777777" w:rsidR="008E2C54" w:rsidRPr="004C3702" w:rsidRDefault="008E2C54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06" w:type="dxa"/>
          </w:tcPr>
          <w:p w14:paraId="31815049" w14:textId="77777777" w:rsidR="008E2C54" w:rsidRPr="004C3702" w:rsidRDefault="008E2C54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D39D" w14:textId="622F5DF0" w:rsidR="008E2C54" w:rsidRPr="004C3702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687,26</w:t>
            </w:r>
          </w:p>
        </w:tc>
      </w:tr>
    </w:tbl>
    <w:p w14:paraId="1BD1B0F3" w14:textId="77777777" w:rsidR="008E2C54" w:rsidRPr="004C3702" w:rsidRDefault="008E2C54" w:rsidP="008E2C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011262" w14:textId="77777777" w:rsidR="008E2C54" w:rsidRPr="00CC3ECC" w:rsidRDefault="008E2C54" w:rsidP="00CC3E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C9A48" w14:textId="520532E2" w:rsidR="00922E9A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8F69DF" w:rsidRPr="00CC3ECC">
        <w:rPr>
          <w:rFonts w:ascii="Times New Roman" w:hAnsi="Times New Roman" w:cs="Times New Roman"/>
          <w:sz w:val="24"/>
          <w:szCs w:val="24"/>
        </w:rPr>
        <w:t xml:space="preserve">prodaje </w:t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nefinancijske imovine izvršeni su </w:t>
      </w:r>
      <w:r w:rsidR="009A4978">
        <w:rPr>
          <w:rFonts w:ascii="Times New Roman" w:hAnsi="Times New Roman" w:cs="Times New Roman"/>
          <w:sz w:val="24"/>
          <w:szCs w:val="24"/>
        </w:rPr>
        <w:t>37</w:t>
      </w:r>
      <w:r w:rsidR="008F69DF" w:rsidRPr="00CC3ECC">
        <w:rPr>
          <w:rFonts w:ascii="Times New Roman" w:hAnsi="Times New Roman" w:cs="Times New Roman"/>
          <w:sz w:val="24"/>
          <w:szCs w:val="24"/>
        </w:rPr>
        <w:t>%</w:t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. </w:t>
      </w:r>
      <w:r w:rsidR="00890F00">
        <w:rPr>
          <w:rFonts w:ascii="Times New Roman" w:hAnsi="Times New Roman" w:cs="Times New Roman"/>
          <w:sz w:val="24"/>
          <w:szCs w:val="24"/>
        </w:rPr>
        <w:t xml:space="preserve"> Planirani prihodi od nefinancijske imovine u iznosu od </w:t>
      </w:r>
      <w:r w:rsidR="009A4978">
        <w:rPr>
          <w:rFonts w:ascii="Times New Roman" w:hAnsi="Times New Roman" w:cs="Times New Roman"/>
          <w:sz w:val="24"/>
          <w:szCs w:val="24"/>
        </w:rPr>
        <w:t>40.100</w:t>
      </w:r>
      <w:r w:rsidR="00890F00">
        <w:rPr>
          <w:rFonts w:ascii="Times New Roman" w:hAnsi="Times New Roman" w:cs="Times New Roman"/>
          <w:sz w:val="24"/>
          <w:szCs w:val="24"/>
        </w:rPr>
        <w:t xml:space="preserve">. se odnose na prodaju građevinskog zemljišta  </w:t>
      </w:r>
      <w:r w:rsidR="00FB0367">
        <w:rPr>
          <w:rFonts w:ascii="Times New Roman" w:hAnsi="Times New Roman" w:cs="Times New Roman"/>
          <w:sz w:val="24"/>
          <w:szCs w:val="24"/>
        </w:rPr>
        <w:t>i</w:t>
      </w:r>
      <w:r w:rsidR="00890F00">
        <w:rPr>
          <w:rFonts w:ascii="Times New Roman" w:hAnsi="Times New Roman" w:cs="Times New Roman"/>
          <w:sz w:val="24"/>
          <w:szCs w:val="24"/>
        </w:rPr>
        <w:t xml:space="preserve"> na obročno plaćanje otkupljenih stanova na kojima je postojalo stan</w:t>
      </w:r>
      <w:r w:rsidR="00C26D27">
        <w:rPr>
          <w:rFonts w:ascii="Times New Roman" w:hAnsi="Times New Roman" w:cs="Times New Roman"/>
          <w:sz w:val="24"/>
          <w:szCs w:val="24"/>
        </w:rPr>
        <w:t>a</w:t>
      </w:r>
      <w:r w:rsidR="00890F00">
        <w:rPr>
          <w:rFonts w:ascii="Times New Roman" w:hAnsi="Times New Roman" w:cs="Times New Roman"/>
          <w:sz w:val="24"/>
          <w:szCs w:val="24"/>
        </w:rPr>
        <w:t>rsko pravo.</w:t>
      </w:r>
    </w:p>
    <w:p w14:paraId="281256F8" w14:textId="77777777" w:rsidR="007622E7" w:rsidRDefault="007622E7" w:rsidP="007622E7">
      <w:pPr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Ostvarenje po vrstama prihoda:</w:t>
      </w:r>
    </w:p>
    <w:p w14:paraId="2ED956FF" w14:textId="77777777" w:rsidR="009A2D89" w:rsidRPr="004C3702" w:rsidRDefault="009A2D89" w:rsidP="007622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7622E7" w:rsidRPr="004C3702" w14:paraId="5D805BC6" w14:textId="77777777" w:rsidTr="00253EF0">
        <w:tc>
          <w:tcPr>
            <w:tcW w:w="1129" w:type="dxa"/>
            <w:shd w:val="clear" w:color="auto" w:fill="D9D9D9" w:themeFill="background1" w:themeFillShade="D9"/>
          </w:tcPr>
          <w:p w14:paraId="629F3C3D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Račun</w:t>
            </w:r>
          </w:p>
          <w:p w14:paraId="11D6C954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77F654D5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0216DDC" w14:textId="2ACA3065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Ostvarenje </w:t>
            </w:r>
          </w:p>
        </w:tc>
      </w:tr>
      <w:tr w:rsidR="007622E7" w:rsidRPr="004C3702" w14:paraId="7557AB18" w14:textId="77777777" w:rsidTr="00253EF0">
        <w:tc>
          <w:tcPr>
            <w:tcW w:w="1129" w:type="dxa"/>
          </w:tcPr>
          <w:p w14:paraId="204DA661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1" w:type="dxa"/>
          </w:tcPr>
          <w:p w14:paraId="5DF49CD8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</w:p>
        </w:tc>
        <w:tc>
          <w:tcPr>
            <w:tcW w:w="3006" w:type="dxa"/>
          </w:tcPr>
          <w:p w14:paraId="0C3200DC" w14:textId="07FCBA71" w:rsidR="007622E7" w:rsidRPr="004C3702" w:rsidRDefault="007622E7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D89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7622E7" w:rsidRPr="004C3702" w14:paraId="24A6BD47" w14:textId="77777777" w:rsidTr="00253EF0">
        <w:tc>
          <w:tcPr>
            <w:tcW w:w="1129" w:type="dxa"/>
          </w:tcPr>
          <w:p w14:paraId="3F4BBA3F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7211</w:t>
            </w:r>
          </w:p>
        </w:tc>
        <w:tc>
          <w:tcPr>
            <w:tcW w:w="4881" w:type="dxa"/>
          </w:tcPr>
          <w:p w14:paraId="5734C68C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prodaje građ. Objekata</w:t>
            </w:r>
          </w:p>
        </w:tc>
        <w:tc>
          <w:tcPr>
            <w:tcW w:w="3006" w:type="dxa"/>
          </w:tcPr>
          <w:p w14:paraId="1EB1C386" w14:textId="0F44C99A" w:rsidR="007622E7" w:rsidRDefault="009A2D89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</w:tr>
      <w:tr w:rsidR="007622E7" w:rsidRPr="004C3702" w14:paraId="0F9C88AB" w14:textId="77777777" w:rsidTr="00253EF0">
        <w:tc>
          <w:tcPr>
            <w:tcW w:w="1129" w:type="dxa"/>
          </w:tcPr>
          <w:p w14:paraId="2BB81F37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5353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14:paraId="759388E4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788B1" w14:textId="77777777" w:rsidR="007622E7" w:rsidRPr="004C3702" w:rsidRDefault="007622E7" w:rsidP="0025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0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06" w:type="dxa"/>
          </w:tcPr>
          <w:p w14:paraId="2E43BD80" w14:textId="77777777" w:rsidR="007622E7" w:rsidRPr="004C3702" w:rsidRDefault="007622E7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9B11C" w14:textId="1806307D" w:rsidR="007622E7" w:rsidRPr="004C3702" w:rsidRDefault="009D1D9D" w:rsidP="00253E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15.029,02</w:t>
            </w:r>
          </w:p>
        </w:tc>
      </w:tr>
    </w:tbl>
    <w:p w14:paraId="50774552" w14:textId="77777777" w:rsidR="007622E7" w:rsidRDefault="007622E7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AF4C63" w14:textId="77777777" w:rsidR="007622E7" w:rsidRPr="00CC3ECC" w:rsidRDefault="007622E7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DE254B" w14:textId="47D2AC8B" w:rsidR="0040747C" w:rsidRPr="00CC3ECC" w:rsidRDefault="0040747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DAAAF5" w14:textId="161A7AE4" w:rsidR="00922E9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Sveukupni prihodi poslovanja  iznose </w:t>
      </w:r>
      <w:r w:rsidR="00890F00">
        <w:rPr>
          <w:rFonts w:ascii="Times New Roman" w:hAnsi="Times New Roman" w:cs="Times New Roman"/>
          <w:sz w:val="24"/>
          <w:szCs w:val="24"/>
        </w:rPr>
        <w:t>1.</w:t>
      </w:r>
      <w:r w:rsidR="00F63699">
        <w:rPr>
          <w:rFonts w:ascii="Times New Roman" w:hAnsi="Times New Roman" w:cs="Times New Roman"/>
          <w:sz w:val="24"/>
          <w:szCs w:val="24"/>
        </w:rPr>
        <w:t>013.668,08</w:t>
      </w:r>
      <w:r w:rsidR="00DA302C" w:rsidRPr="00CC3ECC">
        <w:rPr>
          <w:rFonts w:ascii="Times New Roman" w:hAnsi="Times New Roman" w:cs="Times New Roman"/>
          <w:sz w:val="24"/>
          <w:szCs w:val="24"/>
        </w:rPr>
        <w:t xml:space="preserve"> eura, </w:t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 a prihodi od prodaje nefinancijske imovine </w:t>
      </w:r>
      <w:r w:rsidR="00F63699">
        <w:rPr>
          <w:rFonts w:ascii="Times New Roman" w:hAnsi="Times New Roman" w:cs="Times New Roman"/>
          <w:sz w:val="24"/>
          <w:szCs w:val="24"/>
        </w:rPr>
        <w:t>15.029,02</w:t>
      </w:r>
      <w:r w:rsidR="00DA302C" w:rsidRPr="00CC3ECC">
        <w:rPr>
          <w:rFonts w:ascii="Times New Roman" w:hAnsi="Times New Roman" w:cs="Times New Roman"/>
          <w:sz w:val="24"/>
          <w:szCs w:val="24"/>
        </w:rPr>
        <w:t xml:space="preserve"> eura</w:t>
      </w:r>
      <w:r w:rsidR="00922E9A" w:rsidRPr="00CC3ECC">
        <w:rPr>
          <w:rFonts w:ascii="Times New Roman" w:hAnsi="Times New Roman" w:cs="Times New Roman"/>
          <w:sz w:val="24"/>
          <w:szCs w:val="24"/>
        </w:rPr>
        <w:t>, sve ukupno prihodi za 202</w:t>
      </w:r>
      <w:r w:rsidR="008C28DE">
        <w:rPr>
          <w:rFonts w:ascii="Times New Roman" w:hAnsi="Times New Roman" w:cs="Times New Roman"/>
          <w:sz w:val="24"/>
          <w:szCs w:val="24"/>
        </w:rPr>
        <w:t>5</w:t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A2080D">
        <w:rPr>
          <w:rFonts w:ascii="Times New Roman" w:hAnsi="Times New Roman" w:cs="Times New Roman"/>
          <w:sz w:val="24"/>
          <w:szCs w:val="24"/>
        </w:rPr>
        <w:t>1.</w:t>
      </w:r>
      <w:r w:rsidR="00F63699">
        <w:rPr>
          <w:rFonts w:ascii="Times New Roman" w:hAnsi="Times New Roman" w:cs="Times New Roman"/>
          <w:sz w:val="24"/>
          <w:szCs w:val="24"/>
        </w:rPr>
        <w:t>028.697,10</w:t>
      </w:r>
      <w:r w:rsidR="00DA302C" w:rsidRPr="00CC3ECC">
        <w:rPr>
          <w:rFonts w:ascii="Times New Roman" w:hAnsi="Times New Roman" w:cs="Times New Roman"/>
          <w:sz w:val="24"/>
          <w:szCs w:val="24"/>
        </w:rPr>
        <w:t xml:space="preserve"> eura.</w:t>
      </w:r>
      <w:r w:rsidR="00B86E4E" w:rsidRPr="00CC3ECC">
        <w:rPr>
          <w:rFonts w:ascii="Times New Roman" w:hAnsi="Times New Roman" w:cs="Times New Roman"/>
          <w:sz w:val="24"/>
          <w:szCs w:val="24"/>
        </w:rPr>
        <w:t xml:space="preserve"> Planiran je višak prihoda iz ranijih godina u iznosu od </w:t>
      </w:r>
      <w:r w:rsidR="00F902D6">
        <w:rPr>
          <w:rFonts w:ascii="Times New Roman" w:hAnsi="Times New Roman" w:cs="Times New Roman"/>
          <w:sz w:val="24"/>
          <w:szCs w:val="24"/>
        </w:rPr>
        <w:t>91.923,00</w:t>
      </w:r>
      <w:r w:rsidR="00B86E4E" w:rsidRPr="00CC3ECC">
        <w:rPr>
          <w:rFonts w:ascii="Times New Roman" w:hAnsi="Times New Roman" w:cs="Times New Roman"/>
          <w:sz w:val="24"/>
          <w:szCs w:val="24"/>
        </w:rPr>
        <w:t xml:space="preserve"> koji je i ostvaren u iznosu od </w:t>
      </w:r>
      <w:r w:rsidR="00F902D6">
        <w:rPr>
          <w:rFonts w:ascii="Times New Roman" w:hAnsi="Times New Roman" w:cs="Times New Roman"/>
          <w:sz w:val="24"/>
          <w:szCs w:val="24"/>
        </w:rPr>
        <w:t>91.923,06</w:t>
      </w:r>
      <w:r w:rsidR="00B86E4E" w:rsidRPr="00CC3ECC">
        <w:rPr>
          <w:rFonts w:ascii="Times New Roman" w:hAnsi="Times New Roman" w:cs="Times New Roman"/>
          <w:sz w:val="24"/>
          <w:szCs w:val="24"/>
        </w:rPr>
        <w:t xml:space="preserve"> eur</w:t>
      </w:r>
      <w:r w:rsidR="00C26D27">
        <w:rPr>
          <w:rFonts w:ascii="Times New Roman" w:hAnsi="Times New Roman" w:cs="Times New Roman"/>
          <w:sz w:val="24"/>
          <w:szCs w:val="24"/>
        </w:rPr>
        <w:t>a.</w:t>
      </w:r>
    </w:p>
    <w:p w14:paraId="1D445FB4" w14:textId="6318472B" w:rsidR="00922E9A" w:rsidRPr="00CC3ECC" w:rsidRDefault="00922E9A" w:rsidP="00CC3E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56F211A" w14:textId="00EDDCA4" w:rsidR="00922E9A" w:rsidRPr="00CC3ECC" w:rsidRDefault="00922E9A" w:rsidP="00CC3EC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ECC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403640EA" w14:textId="7C6539D5" w:rsidR="00922E9A" w:rsidRPr="00CC3ECC" w:rsidRDefault="00922E9A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688A1A" w14:textId="15706E22" w:rsidR="00922E9A" w:rsidRPr="00CC3ECC" w:rsidRDefault="00922E9A" w:rsidP="00922E9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C3ECC">
        <w:rPr>
          <w:rFonts w:ascii="Times New Roman" w:hAnsi="Times New Roman" w:cs="Times New Roman"/>
          <w:b/>
          <w:bCs/>
          <w:sz w:val="24"/>
          <w:szCs w:val="24"/>
        </w:rPr>
        <w:t>Ekonomska klasifikacija</w:t>
      </w:r>
    </w:p>
    <w:p w14:paraId="053C9D8D" w14:textId="0174D456" w:rsidR="00922E9A" w:rsidRPr="00CC3ECC" w:rsidRDefault="00922E9A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029DDD" w14:textId="01726B1C" w:rsidR="00922E9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02C" w:rsidRPr="00CC3ECC">
        <w:rPr>
          <w:rFonts w:ascii="Times New Roman" w:hAnsi="Times New Roman" w:cs="Times New Roman"/>
          <w:sz w:val="24"/>
          <w:szCs w:val="24"/>
        </w:rPr>
        <w:t>Rashodi poslovanja izvršeni su</w:t>
      </w:r>
      <w:r w:rsidR="008F69DF" w:rsidRPr="00CC3ECC">
        <w:rPr>
          <w:rFonts w:ascii="Times New Roman" w:hAnsi="Times New Roman" w:cs="Times New Roman"/>
          <w:sz w:val="24"/>
          <w:szCs w:val="24"/>
        </w:rPr>
        <w:t xml:space="preserve"> 9</w:t>
      </w:r>
      <w:r w:rsidR="00AB18D5">
        <w:rPr>
          <w:rFonts w:ascii="Times New Roman" w:hAnsi="Times New Roman" w:cs="Times New Roman"/>
          <w:sz w:val="24"/>
          <w:szCs w:val="24"/>
        </w:rPr>
        <w:t>6</w:t>
      </w:r>
      <w:r w:rsidR="00922E9A" w:rsidRPr="00CC3ECC">
        <w:rPr>
          <w:rFonts w:ascii="Times New Roman" w:hAnsi="Times New Roman" w:cs="Times New Roman"/>
          <w:sz w:val="24"/>
          <w:szCs w:val="24"/>
        </w:rPr>
        <w:t xml:space="preserve">%, a rashodi za nabavu nefinancijske imovine </w:t>
      </w:r>
      <w:r w:rsidR="00AB18D5">
        <w:rPr>
          <w:rFonts w:ascii="Times New Roman" w:hAnsi="Times New Roman" w:cs="Times New Roman"/>
          <w:sz w:val="24"/>
          <w:szCs w:val="24"/>
        </w:rPr>
        <w:t>79</w:t>
      </w:r>
      <w:r w:rsidR="00922E9A" w:rsidRPr="00CC3ECC">
        <w:rPr>
          <w:rFonts w:ascii="Times New Roman" w:hAnsi="Times New Roman" w:cs="Times New Roman"/>
          <w:sz w:val="24"/>
          <w:szCs w:val="24"/>
        </w:rPr>
        <w:t>%.</w:t>
      </w:r>
      <w:r w:rsidR="003313FB" w:rsidRPr="00CC3ECC">
        <w:rPr>
          <w:rFonts w:ascii="Times New Roman" w:hAnsi="Times New Roman" w:cs="Times New Roman"/>
          <w:sz w:val="24"/>
          <w:szCs w:val="24"/>
        </w:rPr>
        <w:t xml:space="preserve"> Svi rashodi izvršeni su u sk</w:t>
      </w:r>
      <w:r w:rsidR="00DA302C" w:rsidRPr="00CC3ECC">
        <w:rPr>
          <w:rFonts w:ascii="Times New Roman" w:hAnsi="Times New Roman" w:cs="Times New Roman"/>
          <w:sz w:val="24"/>
          <w:szCs w:val="24"/>
        </w:rPr>
        <w:t>ladu sa planom proračuna za 202</w:t>
      </w:r>
      <w:r w:rsidR="00B3665C">
        <w:rPr>
          <w:rFonts w:ascii="Times New Roman" w:hAnsi="Times New Roman" w:cs="Times New Roman"/>
          <w:sz w:val="24"/>
          <w:szCs w:val="24"/>
        </w:rPr>
        <w:t>5</w:t>
      </w:r>
      <w:r w:rsidR="003313FB" w:rsidRPr="00CC3ECC">
        <w:rPr>
          <w:rFonts w:ascii="Times New Roman" w:hAnsi="Times New Roman" w:cs="Times New Roman"/>
          <w:sz w:val="24"/>
          <w:szCs w:val="24"/>
        </w:rPr>
        <w:t>. godinu.</w:t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3623D" w14:textId="70BBA316" w:rsidR="00C65905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Rashodi poslovanja iznose </w:t>
      </w:r>
      <w:r w:rsidR="00A2080D">
        <w:rPr>
          <w:rFonts w:ascii="Times New Roman" w:hAnsi="Times New Roman" w:cs="Times New Roman"/>
          <w:sz w:val="24"/>
          <w:szCs w:val="24"/>
        </w:rPr>
        <w:t>82</w:t>
      </w:r>
      <w:r w:rsidR="00B3665C">
        <w:rPr>
          <w:rFonts w:ascii="Times New Roman" w:hAnsi="Times New Roman" w:cs="Times New Roman"/>
          <w:sz w:val="24"/>
          <w:szCs w:val="24"/>
        </w:rPr>
        <w:t>7.965,27</w:t>
      </w:r>
      <w:r w:rsidR="00DA302C" w:rsidRPr="00CC3ECC">
        <w:rPr>
          <w:rFonts w:ascii="Times New Roman" w:hAnsi="Times New Roman" w:cs="Times New Roman"/>
          <w:sz w:val="24"/>
          <w:szCs w:val="24"/>
        </w:rPr>
        <w:t xml:space="preserve"> eura,</w:t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 a rashodi za nabavu nefinancijske imovine </w:t>
      </w:r>
      <w:r w:rsidR="00B3665C">
        <w:rPr>
          <w:rFonts w:ascii="Times New Roman" w:hAnsi="Times New Roman" w:cs="Times New Roman"/>
          <w:sz w:val="24"/>
          <w:szCs w:val="24"/>
        </w:rPr>
        <w:t>357.064,72</w:t>
      </w:r>
      <w:r w:rsidR="00DA302C" w:rsidRPr="00CC3ECC">
        <w:rPr>
          <w:rFonts w:ascii="Times New Roman" w:hAnsi="Times New Roman" w:cs="Times New Roman"/>
          <w:sz w:val="24"/>
          <w:szCs w:val="24"/>
        </w:rPr>
        <w:t xml:space="preserve"> eura</w:t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, sveukupno rashodi iznose </w:t>
      </w:r>
      <w:r w:rsidR="00A2080D">
        <w:rPr>
          <w:rFonts w:ascii="Times New Roman" w:hAnsi="Times New Roman" w:cs="Times New Roman"/>
          <w:sz w:val="24"/>
          <w:szCs w:val="24"/>
        </w:rPr>
        <w:t>1.</w:t>
      </w:r>
      <w:r w:rsidR="00B3665C">
        <w:rPr>
          <w:rFonts w:ascii="Times New Roman" w:hAnsi="Times New Roman" w:cs="Times New Roman"/>
          <w:sz w:val="24"/>
          <w:szCs w:val="24"/>
        </w:rPr>
        <w:t>185.029,99</w:t>
      </w:r>
      <w:r w:rsidR="00EA79ED" w:rsidRPr="00CC3ECC">
        <w:rPr>
          <w:rFonts w:ascii="Times New Roman" w:hAnsi="Times New Roman" w:cs="Times New Roman"/>
          <w:sz w:val="24"/>
          <w:szCs w:val="24"/>
        </w:rPr>
        <w:t xml:space="preserve"> eura.</w:t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C4EBB" w14:textId="37056461" w:rsidR="00C65905" w:rsidRPr="00CC3ECC" w:rsidRDefault="00C65905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E8AE3C" w14:textId="492E283D" w:rsidR="00C65905" w:rsidRPr="00CC3ECC" w:rsidRDefault="00C65905" w:rsidP="00922E9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C3ECC">
        <w:rPr>
          <w:rFonts w:ascii="Times New Roman" w:hAnsi="Times New Roman" w:cs="Times New Roman"/>
          <w:b/>
          <w:bCs/>
          <w:sz w:val="24"/>
          <w:szCs w:val="24"/>
        </w:rPr>
        <w:t>Programska klasifikacija</w:t>
      </w:r>
    </w:p>
    <w:p w14:paraId="2E1B53B7" w14:textId="69676659" w:rsidR="00C65905" w:rsidRPr="00CC3ECC" w:rsidRDefault="00C65905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72C7D" w14:textId="19129692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1001 Redovan rad predstavničkih tijela</w:t>
      </w:r>
    </w:p>
    <w:p w14:paraId="18DC44A5" w14:textId="019574D5" w:rsidR="00C65905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C42666">
        <w:rPr>
          <w:rFonts w:ascii="Times New Roman" w:hAnsi="Times New Roman" w:cs="Times New Roman"/>
          <w:sz w:val="24"/>
          <w:szCs w:val="24"/>
        </w:rPr>
        <w:t>93</w:t>
      </w:r>
      <w:r w:rsidR="00C65905" w:rsidRPr="00CC3ECC">
        <w:rPr>
          <w:rFonts w:ascii="Times New Roman" w:hAnsi="Times New Roman" w:cs="Times New Roman"/>
          <w:sz w:val="24"/>
          <w:szCs w:val="24"/>
        </w:rPr>
        <w:t>%</w:t>
      </w:r>
      <w:r w:rsidR="00EA79ED" w:rsidRPr="00CC3ECC">
        <w:rPr>
          <w:rFonts w:ascii="Times New Roman" w:hAnsi="Times New Roman" w:cs="Times New Roman"/>
          <w:sz w:val="24"/>
          <w:szCs w:val="24"/>
        </w:rPr>
        <w:t>.</w:t>
      </w:r>
    </w:p>
    <w:p w14:paraId="55C7F046" w14:textId="5C81249D" w:rsidR="00B86E4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E4E" w:rsidRPr="00CC3ECC">
        <w:rPr>
          <w:rFonts w:ascii="Times New Roman" w:hAnsi="Times New Roman" w:cs="Times New Roman"/>
          <w:sz w:val="24"/>
          <w:szCs w:val="24"/>
        </w:rPr>
        <w:t>Ovaj program obuhvaća rad  Općinskog vijeća i Općinske načelnice.</w:t>
      </w:r>
    </w:p>
    <w:p w14:paraId="5C06E060" w14:textId="79272CBD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EC365C" w14:textId="76EE503E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895F39" w14:textId="30262E35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1002 Priprema i donošenje akata iz djelokruga lokalne samouprave</w:t>
      </w:r>
    </w:p>
    <w:p w14:paraId="43C779D3" w14:textId="3912B168" w:rsidR="00C65905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5905" w:rsidRPr="00CC3ECC">
        <w:rPr>
          <w:rFonts w:ascii="Times New Roman" w:hAnsi="Times New Roman" w:cs="Times New Roman"/>
          <w:sz w:val="24"/>
          <w:szCs w:val="24"/>
        </w:rPr>
        <w:t>Izvršenje ovog programa je 9</w:t>
      </w:r>
      <w:r w:rsidR="00C42666">
        <w:rPr>
          <w:rFonts w:ascii="Times New Roman" w:hAnsi="Times New Roman" w:cs="Times New Roman"/>
          <w:sz w:val="24"/>
          <w:szCs w:val="24"/>
        </w:rPr>
        <w:t>6</w:t>
      </w:r>
      <w:r w:rsidR="00C65905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3A5E7E02" w14:textId="11600D67" w:rsidR="00B86E4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E4E" w:rsidRPr="00CC3ECC">
        <w:rPr>
          <w:rFonts w:ascii="Times New Roman" w:hAnsi="Times New Roman" w:cs="Times New Roman"/>
          <w:sz w:val="24"/>
          <w:szCs w:val="24"/>
        </w:rPr>
        <w:t>Ovaj program obuhvaća troškove rada Jedinstvenog upravnog odjela</w:t>
      </w:r>
      <w:r w:rsidR="00A312AF">
        <w:rPr>
          <w:rFonts w:ascii="Times New Roman" w:hAnsi="Times New Roman" w:cs="Times New Roman"/>
          <w:sz w:val="24"/>
          <w:szCs w:val="24"/>
        </w:rPr>
        <w:t>, a financira se iz općih prihoda.</w:t>
      </w:r>
    </w:p>
    <w:p w14:paraId="54374A8C" w14:textId="6833C05D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97E5AA" w14:textId="77777777" w:rsidR="008F69DF" w:rsidRPr="00CC3ECC" w:rsidRDefault="008F69DF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679205" w14:textId="68891891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 xml:space="preserve">Program 1003 </w:t>
      </w:r>
      <w:r w:rsidR="00A2080D">
        <w:rPr>
          <w:rFonts w:ascii="Times New Roman" w:hAnsi="Times New Roman" w:cs="Times New Roman"/>
          <w:sz w:val="24"/>
          <w:szCs w:val="24"/>
        </w:rPr>
        <w:t>Održavanje komunalne infrastr</w:t>
      </w:r>
      <w:r w:rsidR="00C26D27">
        <w:rPr>
          <w:rFonts w:ascii="Times New Roman" w:hAnsi="Times New Roman" w:cs="Times New Roman"/>
          <w:sz w:val="24"/>
          <w:szCs w:val="24"/>
        </w:rPr>
        <w:t>u</w:t>
      </w:r>
      <w:r w:rsidR="00A2080D">
        <w:rPr>
          <w:rFonts w:ascii="Times New Roman" w:hAnsi="Times New Roman" w:cs="Times New Roman"/>
          <w:sz w:val="24"/>
          <w:szCs w:val="24"/>
        </w:rPr>
        <w:t>kture</w:t>
      </w:r>
    </w:p>
    <w:p w14:paraId="17431361" w14:textId="588F0E75" w:rsidR="00C65905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618479"/>
      <w:r>
        <w:rPr>
          <w:rFonts w:ascii="Times New Roman" w:hAnsi="Times New Roman" w:cs="Times New Roman"/>
          <w:sz w:val="24"/>
          <w:szCs w:val="24"/>
        </w:rPr>
        <w:tab/>
      </w:r>
      <w:r w:rsidR="00C65905" w:rsidRPr="00CC3ECC">
        <w:rPr>
          <w:rFonts w:ascii="Times New Roman" w:hAnsi="Times New Roman" w:cs="Times New Roman"/>
          <w:sz w:val="24"/>
          <w:szCs w:val="24"/>
        </w:rPr>
        <w:t>Izvršenje ovog programa je 9</w:t>
      </w:r>
      <w:r w:rsidR="00C42666">
        <w:rPr>
          <w:rFonts w:ascii="Times New Roman" w:hAnsi="Times New Roman" w:cs="Times New Roman"/>
          <w:sz w:val="24"/>
          <w:szCs w:val="24"/>
        </w:rPr>
        <w:t>7</w:t>
      </w:r>
      <w:r w:rsidR="00C65905" w:rsidRPr="00CC3ECC">
        <w:rPr>
          <w:rFonts w:ascii="Times New Roman" w:hAnsi="Times New Roman" w:cs="Times New Roman"/>
          <w:sz w:val="24"/>
          <w:szCs w:val="24"/>
        </w:rPr>
        <w:t>%.</w:t>
      </w:r>
    </w:p>
    <w:bookmarkEnd w:id="0"/>
    <w:p w14:paraId="6912735D" w14:textId="238B5D63" w:rsidR="00C65905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5905" w:rsidRPr="00CC3ECC">
        <w:rPr>
          <w:rFonts w:ascii="Times New Roman" w:hAnsi="Times New Roman" w:cs="Times New Roman"/>
          <w:sz w:val="24"/>
          <w:szCs w:val="24"/>
        </w:rPr>
        <w:t>Ovaj program obuhvaća aktivnosti i  projekte: održavanje javne rasvjete, javnih površina i puteva,   uređenje mjesta Lastova</w:t>
      </w:r>
      <w:r w:rsidR="00A2080D">
        <w:rPr>
          <w:rFonts w:ascii="Times New Roman" w:hAnsi="Times New Roman" w:cs="Times New Roman"/>
          <w:sz w:val="24"/>
          <w:szCs w:val="24"/>
        </w:rPr>
        <w:t>, uređenje otoka Prežba, sanaciju malonogometnog igrališta. Ovaj program financiran je sredstvima ostvarenim naplatom općih prihoda, komunalnog doprinosa, komunalne naknade</w:t>
      </w:r>
      <w:r w:rsidR="007C09FA">
        <w:rPr>
          <w:rFonts w:ascii="Times New Roman" w:hAnsi="Times New Roman" w:cs="Times New Roman"/>
          <w:sz w:val="24"/>
          <w:szCs w:val="24"/>
        </w:rPr>
        <w:t>,</w:t>
      </w:r>
      <w:r w:rsidR="00A2080D">
        <w:rPr>
          <w:rFonts w:ascii="Times New Roman" w:hAnsi="Times New Roman" w:cs="Times New Roman"/>
          <w:sz w:val="24"/>
          <w:szCs w:val="24"/>
        </w:rPr>
        <w:t xml:space="preserve"> te kapitalnim pomoćima.</w:t>
      </w:r>
    </w:p>
    <w:p w14:paraId="0976138C" w14:textId="7FE90C07" w:rsidR="00C65905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7F60A8" w14:textId="77777777" w:rsidR="00C509D7" w:rsidRPr="00CC3ECC" w:rsidRDefault="00C509D7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0253CD" w14:textId="61176640" w:rsidR="00C65905" w:rsidRPr="00CC3ECC" w:rsidRDefault="00C6590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1004 Održavanje imovine</w:t>
      </w:r>
    </w:p>
    <w:p w14:paraId="75128A65" w14:textId="6B39CD5A" w:rsidR="00C65905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5905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8F69DF" w:rsidRPr="00CC3ECC">
        <w:rPr>
          <w:rFonts w:ascii="Times New Roman" w:hAnsi="Times New Roman" w:cs="Times New Roman"/>
          <w:sz w:val="24"/>
          <w:szCs w:val="24"/>
        </w:rPr>
        <w:t>9</w:t>
      </w:r>
      <w:r w:rsidR="00A2080D">
        <w:rPr>
          <w:rFonts w:ascii="Times New Roman" w:hAnsi="Times New Roman" w:cs="Times New Roman"/>
          <w:sz w:val="24"/>
          <w:szCs w:val="24"/>
        </w:rPr>
        <w:t>4</w:t>
      </w:r>
      <w:r w:rsidR="00C65905" w:rsidRPr="00CC3ECC">
        <w:rPr>
          <w:rFonts w:ascii="Times New Roman" w:hAnsi="Times New Roman" w:cs="Times New Roman"/>
          <w:sz w:val="24"/>
          <w:szCs w:val="24"/>
        </w:rPr>
        <w:t>%.</w:t>
      </w:r>
    </w:p>
    <w:p w14:paraId="327D3E83" w14:textId="14F6DFC3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>Programom je obuhvaćeno razno tekuće i investicijsko održavanje nekretnina u vlasništvu Općine Lastovo.</w:t>
      </w:r>
      <w:r w:rsidR="00A312AF">
        <w:rPr>
          <w:rFonts w:ascii="Times New Roman" w:hAnsi="Times New Roman" w:cs="Times New Roman"/>
          <w:sz w:val="24"/>
          <w:szCs w:val="24"/>
        </w:rPr>
        <w:t xml:space="preserve"> Izvori financiranja su opći prihodi, </w:t>
      </w:r>
      <w:r w:rsidR="00C1148F">
        <w:rPr>
          <w:rFonts w:ascii="Times New Roman" w:hAnsi="Times New Roman" w:cs="Times New Roman"/>
          <w:sz w:val="24"/>
          <w:szCs w:val="24"/>
        </w:rPr>
        <w:t>vlastiti prihodi</w:t>
      </w:r>
      <w:r w:rsidR="00895A71">
        <w:rPr>
          <w:rFonts w:ascii="Times New Roman" w:hAnsi="Times New Roman" w:cs="Times New Roman"/>
          <w:sz w:val="24"/>
          <w:szCs w:val="24"/>
        </w:rPr>
        <w:t xml:space="preserve">, </w:t>
      </w:r>
      <w:r w:rsidR="00A312AF">
        <w:rPr>
          <w:rFonts w:ascii="Times New Roman" w:hAnsi="Times New Roman" w:cs="Times New Roman"/>
          <w:sz w:val="24"/>
          <w:szCs w:val="24"/>
        </w:rPr>
        <w:t xml:space="preserve"> prihodi od kapitalnih pomoći</w:t>
      </w:r>
      <w:r w:rsidR="00910323">
        <w:rPr>
          <w:rFonts w:ascii="Times New Roman" w:hAnsi="Times New Roman" w:cs="Times New Roman"/>
          <w:sz w:val="24"/>
          <w:szCs w:val="24"/>
        </w:rPr>
        <w:t>, prihodi od komunalne naknade</w:t>
      </w:r>
    </w:p>
    <w:p w14:paraId="2ECCBFC0" w14:textId="453FF29D" w:rsidR="00407F4A" w:rsidRDefault="00407F4A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4B46D4" w14:textId="77777777" w:rsidR="00C509D7" w:rsidRPr="00CC3ECC" w:rsidRDefault="00C509D7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6D4359" w14:textId="4C021BC1" w:rsidR="00407F4A" w:rsidRPr="00CC3ECC" w:rsidRDefault="00407F4A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1005 Planovi studije projekti i podloge</w:t>
      </w:r>
    </w:p>
    <w:p w14:paraId="07EF8D77" w14:textId="43352FFC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2619305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C86098">
        <w:rPr>
          <w:rFonts w:ascii="Times New Roman" w:hAnsi="Times New Roman" w:cs="Times New Roman"/>
          <w:sz w:val="24"/>
          <w:szCs w:val="24"/>
        </w:rPr>
        <w:t>84</w:t>
      </w:r>
      <w:r w:rsidR="00407F4A" w:rsidRPr="00CC3ECC">
        <w:rPr>
          <w:rFonts w:ascii="Times New Roman" w:hAnsi="Times New Roman" w:cs="Times New Roman"/>
          <w:sz w:val="24"/>
          <w:szCs w:val="24"/>
        </w:rPr>
        <w:t>%</w:t>
      </w:r>
    </w:p>
    <w:bookmarkEnd w:id="1"/>
    <w:p w14:paraId="0DCD0318" w14:textId="44C4DBD8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>Ovim programom planirano je utvrđivanje vlasništva nad nekretninama, izrada prostorno planske dokumentacije</w:t>
      </w:r>
      <w:r w:rsidR="00A312AF">
        <w:rPr>
          <w:rFonts w:ascii="Times New Roman" w:hAnsi="Times New Roman" w:cs="Times New Roman"/>
          <w:sz w:val="24"/>
          <w:szCs w:val="24"/>
        </w:rPr>
        <w:t>, prometni elaborat za područje općine Lastovo</w:t>
      </w:r>
      <w:r w:rsidR="00F53AFD">
        <w:rPr>
          <w:rFonts w:ascii="Times New Roman" w:hAnsi="Times New Roman" w:cs="Times New Roman"/>
          <w:sz w:val="24"/>
          <w:szCs w:val="24"/>
        </w:rPr>
        <w:t xml:space="preserve">, </w:t>
      </w:r>
      <w:r w:rsidR="003C71BC">
        <w:rPr>
          <w:rFonts w:ascii="Times New Roman" w:hAnsi="Times New Roman" w:cs="Times New Roman"/>
          <w:sz w:val="24"/>
          <w:szCs w:val="24"/>
        </w:rPr>
        <w:t>Strategija zelene urbane infrastrukture</w:t>
      </w:r>
      <w:r w:rsidR="00A312AF">
        <w:rPr>
          <w:rFonts w:ascii="Times New Roman" w:hAnsi="Times New Roman" w:cs="Times New Roman"/>
          <w:sz w:val="24"/>
          <w:szCs w:val="24"/>
        </w:rPr>
        <w:t>. Izvori financiranja su opći prihodi, vlastiti prihodi, prihodi o</w:t>
      </w:r>
      <w:r w:rsidR="00895A71">
        <w:rPr>
          <w:rFonts w:ascii="Times New Roman" w:hAnsi="Times New Roman" w:cs="Times New Roman"/>
          <w:sz w:val="24"/>
          <w:szCs w:val="24"/>
        </w:rPr>
        <w:t xml:space="preserve">d </w:t>
      </w:r>
      <w:r w:rsidR="00C97E31">
        <w:rPr>
          <w:rFonts w:ascii="Times New Roman" w:hAnsi="Times New Roman" w:cs="Times New Roman"/>
          <w:sz w:val="24"/>
          <w:szCs w:val="24"/>
        </w:rPr>
        <w:t>pomoći.</w:t>
      </w:r>
    </w:p>
    <w:p w14:paraId="2953E165" w14:textId="39808D6D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C3580" w14:textId="769D59AC" w:rsidR="00407F4A" w:rsidRPr="00CC3ECC" w:rsidRDefault="00407F4A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860416" w14:textId="53DAA4DB" w:rsidR="00407F4A" w:rsidRPr="00CC3ECC" w:rsidRDefault="00407F4A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1006 Gradnja objekata i uređaja komunalne infrastrukture</w:t>
      </w:r>
    </w:p>
    <w:p w14:paraId="05F35A3A" w14:textId="16E75BCB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A312AF">
        <w:rPr>
          <w:rFonts w:ascii="Times New Roman" w:hAnsi="Times New Roman" w:cs="Times New Roman"/>
          <w:sz w:val="24"/>
          <w:szCs w:val="24"/>
        </w:rPr>
        <w:t>95</w:t>
      </w:r>
      <w:r w:rsidR="00407F4A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13E65786" w14:textId="1916FF0E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 xml:space="preserve">Program obuhvaća </w:t>
      </w:r>
      <w:r w:rsidR="00B86E4E" w:rsidRPr="00CC3ECC">
        <w:rPr>
          <w:rFonts w:ascii="Times New Roman" w:hAnsi="Times New Roman" w:cs="Times New Roman"/>
          <w:sz w:val="24"/>
          <w:szCs w:val="24"/>
        </w:rPr>
        <w:t xml:space="preserve">ulaganja u </w:t>
      </w:r>
      <w:r w:rsidR="00C97E31">
        <w:rPr>
          <w:rFonts w:ascii="Times New Roman" w:hAnsi="Times New Roman" w:cs="Times New Roman"/>
          <w:sz w:val="24"/>
          <w:szCs w:val="24"/>
        </w:rPr>
        <w:t>nabavu komunalne opreme</w:t>
      </w:r>
      <w:r w:rsidR="00B86E4E" w:rsidRPr="00CC3ECC">
        <w:rPr>
          <w:rFonts w:ascii="Times New Roman" w:hAnsi="Times New Roman" w:cs="Times New Roman"/>
          <w:sz w:val="24"/>
          <w:szCs w:val="24"/>
        </w:rPr>
        <w:t>,</w:t>
      </w:r>
      <w:r w:rsidR="00C97E31">
        <w:rPr>
          <w:rFonts w:ascii="Times New Roman" w:hAnsi="Times New Roman" w:cs="Times New Roman"/>
          <w:sz w:val="24"/>
          <w:szCs w:val="24"/>
        </w:rPr>
        <w:t xml:space="preserve"> nabavu zemljišta ispod Trga Lastovskog poklada</w:t>
      </w:r>
      <w:r w:rsidR="00133FA1">
        <w:rPr>
          <w:rFonts w:ascii="Times New Roman" w:hAnsi="Times New Roman" w:cs="Times New Roman"/>
          <w:sz w:val="24"/>
          <w:szCs w:val="24"/>
        </w:rPr>
        <w:t>, izgradnju nerazvrstanih cesta</w:t>
      </w:r>
      <w:r w:rsidR="006F5704">
        <w:rPr>
          <w:rFonts w:ascii="Times New Roman" w:hAnsi="Times New Roman" w:cs="Times New Roman"/>
          <w:sz w:val="24"/>
          <w:szCs w:val="24"/>
        </w:rPr>
        <w:t>,</w:t>
      </w:r>
      <w:r w:rsidR="00A312AF">
        <w:rPr>
          <w:rFonts w:ascii="Times New Roman" w:hAnsi="Times New Roman" w:cs="Times New Roman"/>
          <w:sz w:val="24"/>
          <w:szCs w:val="24"/>
        </w:rPr>
        <w:t xml:space="preserve"> Sportsko igralište Ubli</w:t>
      </w:r>
      <w:r w:rsidR="003E00E2">
        <w:rPr>
          <w:rFonts w:ascii="Times New Roman" w:hAnsi="Times New Roman" w:cs="Times New Roman"/>
          <w:sz w:val="24"/>
          <w:szCs w:val="24"/>
        </w:rPr>
        <w:t xml:space="preserve">, vodovod u </w:t>
      </w:r>
      <w:r w:rsidR="004B038D">
        <w:rPr>
          <w:rFonts w:ascii="Times New Roman" w:hAnsi="Times New Roman" w:cs="Times New Roman"/>
          <w:sz w:val="24"/>
          <w:szCs w:val="24"/>
        </w:rPr>
        <w:t>m</w:t>
      </w:r>
      <w:r w:rsidR="003E00E2">
        <w:rPr>
          <w:rFonts w:ascii="Times New Roman" w:hAnsi="Times New Roman" w:cs="Times New Roman"/>
          <w:sz w:val="24"/>
          <w:szCs w:val="24"/>
        </w:rPr>
        <w:t>jestu Pasadur</w:t>
      </w:r>
      <w:r w:rsidR="004B038D">
        <w:rPr>
          <w:rFonts w:ascii="Times New Roman" w:hAnsi="Times New Roman" w:cs="Times New Roman"/>
          <w:sz w:val="24"/>
          <w:szCs w:val="24"/>
        </w:rPr>
        <w:t>.</w:t>
      </w:r>
      <w:r w:rsidR="00A312AF">
        <w:rPr>
          <w:rFonts w:ascii="Times New Roman" w:hAnsi="Times New Roman" w:cs="Times New Roman"/>
          <w:sz w:val="24"/>
          <w:szCs w:val="24"/>
        </w:rPr>
        <w:t xml:space="preserve"> Izvori financiranja su opći prihodi, prihodi od</w:t>
      </w:r>
      <w:r w:rsidR="004B038D">
        <w:rPr>
          <w:rFonts w:ascii="Times New Roman" w:hAnsi="Times New Roman" w:cs="Times New Roman"/>
          <w:sz w:val="24"/>
          <w:szCs w:val="24"/>
        </w:rPr>
        <w:t xml:space="preserve"> koncesija,</w:t>
      </w:r>
      <w:r w:rsidR="00A312AF">
        <w:rPr>
          <w:rFonts w:ascii="Times New Roman" w:hAnsi="Times New Roman" w:cs="Times New Roman"/>
          <w:sz w:val="24"/>
          <w:szCs w:val="24"/>
        </w:rPr>
        <w:t xml:space="preserve"> komunalnog doprinosa</w:t>
      </w:r>
      <w:r w:rsidR="004B038D">
        <w:rPr>
          <w:rFonts w:ascii="Times New Roman" w:hAnsi="Times New Roman" w:cs="Times New Roman"/>
          <w:sz w:val="24"/>
          <w:szCs w:val="24"/>
        </w:rPr>
        <w:t xml:space="preserve"> i naknade</w:t>
      </w:r>
      <w:r w:rsidR="006872AC">
        <w:rPr>
          <w:rFonts w:ascii="Times New Roman" w:hAnsi="Times New Roman" w:cs="Times New Roman"/>
          <w:sz w:val="24"/>
          <w:szCs w:val="24"/>
        </w:rPr>
        <w:t xml:space="preserve">, </w:t>
      </w:r>
      <w:r w:rsidR="00011368">
        <w:rPr>
          <w:rFonts w:ascii="Times New Roman" w:hAnsi="Times New Roman" w:cs="Times New Roman"/>
          <w:sz w:val="24"/>
          <w:szCs w:val="24"/>
        </w:rPr>
        <w:t xml:space="preserve">prihodi od legalizacije, </w:t>
      </w:r>
      <w:r w:rsidR="006872AC">
        <w:rPr>
          <w:rFonts w:ascii="Times New Roman" w:hAnsi="Times New Roman" w:cs="Times New Roman"/>
          <w:sz w:val="24"/>
          <w:szCs w:val="24"/>
        </w:rPr>
        <w:t>k</w:t>
      </w:r>
      <w:r w:rsidR="00A312AF">
        <w:rPr>
          <w:rFonts w:ascii="Times New Roman" w:hAnsi="Times New Roman" w:cs="Times New Roman"/>
          <w:sz w:val="24"/>
          <w:szCs w:val="24"/>
        </w:rPr>
        <w:t>apitalne pomoći i prihodi od prodaje imovine</w:t>
      </w:r>
      <w:r w:rsidR="006872AC">
        <w:rPr>
          <w:rFonts w:ascii="Times New Roman" w:hAnsi="Times New Roman" w:cs="Times New Roman"/>
          <w:sz w:val="24"/>
          <w:szCs w:val="24"/>
        </w:rPr>
        <w:t>.</w:t>
      </w:r>
    </w:p>
    <w:p w14:paraId="055266D7" w14:textId="77777777" w:rsidR="00C509D7" w:rsidRDefault="00C509D7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5C35E9" w14:textId="0B0621FC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968684" w14:textId="7587FE1F" w:rsidR="00407F4A" w:rsidRPr="00CC3ECC" w:rsidRDefault="00407F4A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1007 Program javnih potreba u kulturi</w:t>
      </w:r>
    </w:p>
    <w:p w14:paraId="4D2861C9" w14:textId="1215A23A" w:rsidR="00407F4A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>Izvršenje ovog programa je 9</w:t>
      </w:r>
      <w:r w:rsidR="00011368">
        <w:rPr>
          <w:rFonts w:ascii="Times New Roman" w:hAnsi="Times New Roman" w:cs="Times New Roman"/>
          <w:sz w:val="24"/>
          <w:szCs w:val="24"/>
        </w:rPr>
        <w:t>5</w:t>
      </w:r>
      <w:r w:rsidR="00407F4A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2589A3C0" w14:textId="6F38DEF1" w:rsidR="006872AC" w:rsidRPr="00CC3ECC" w:rsidRDefault="00CC3ECC" w:rsidP="00687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A" w:rsidRPr="00CC3ECC">
        <w:rPr>
          <w:rFonts w:ascii="Times New Roman" w:hAnsi="Times New Roman" w:cs="Times New Roman"/>
          <w:sz w:val="24"/>
          <w:szCs w:val="24"/>
        </w:rPr>
        <w:t xml:space="preserve">U okviru ovog programa izvršena je sanacija crkvice sv. </w:t>
      </w:r>
      <w:r w:rsidR="00011368">
        <w:rPr>
          <w:rFonts w:ascii="Times New Roman" w:hAnsi="Times New Roman" w:cs="Times New Roman"/>
          <w:sz w:val="24"/>
          <w:szCs w:val="24"/>
        </w:rPr>
        <w:t>Mihovil</w:t>
      </w:r>
      <w:r w:rsidR="00874984">
        <w:rPr>
          <w:rFonts w:ascii="Times New Roman" w:hAnsi="Times New Roman" w:cs="Times New Roman"/>
          <w:sz w:val="24"/>
          <w:szCs w:val="24"/>
        </w:rPr>
        <w:t xml:space="preserve"> i sv. Ivan krstitelj, </w:t>
      </w:r>
      <w:r w:rsidR="00407F4A" w:rsidRPr="00CC3ECC">
        <w:rPr>
          <w:rFonts w:ascii="Times New Roman" w:hAnsi="Times New Roman" w:cs="Times New Roman"/>
          <w:sz w:val="24"/>
          <w:szCs w:val="24"/>
        </w:rPr>
        <w:t xml:space="preserve"> tekuće financiranje Kneževog dvora, dane potpore udrugama u kulturi, </w:t>
      </w:r>
      <w:r w:rsidR="00022ADE" w:rsidRPr="00CC3ECC">
        <w:rPr>
          <w:rFonts w:ascii="Times New Roman" w:hAnsi="Times New Roman" w:cs="Times New Roman"/>
          <w:sz w:val="24"/>
          <w:szCs w:val="24"/>
        </w:rPr>
        <w:t>tiskan je  Lastovsk</w:t>
      </w:r>
      <w:r w:rsidR="00122EAC" w:rsidRPr="00CC3ECC">
        <w:rPr>
          <w:rFonts w:ascii="Times New Roman" w:hAnsi="Times New Roman" w:cs="Times New Roman"/>
          <w:sz w:val="24"/>
          <w:szCs w:val="24"/>
        </w:rPr>
        <w:t>i statut</w:t>
      </w:r>
      <w:r w:rsidR="006872AC">
        <w:rPr>
          <w:rFonts w:ascii="Times New Roman" w:hAnsi="Times New Roman" w:cs="Times New Roman"/>
          <w:sz w:val="24"/>
          <w:szCs w:val="24"/>
        </w:rPr>
        <w:t xml:space="preserve">, održane su kulturne manifestacije. Izvor financiranja su opći prihodi, vlastiti prihodi, </w:t>
      </w:r>
      <w:r w:rsidR="004534FD">
        <w:rPr>
          <w:rFonts w:ascii="Times New Roman" w:hAnsi="Times New Roman" w:cs="Times New Roman"/>
          <w:sz w:val="24"/>
          <w:szCs w:val="24"/>
        </w:rPr>
        <w:t xml:space="preserve">kapitalne i </w:t>
      </w:r>
      <w:r w:rsidR="007B3CF9">
        <w:rPr>
          <w:rFonts w:ascii="Times New Roman" w:hAnsi="Times New Roman" w:cs="Times New Roman"/>
          <w:sz w:val="24"/>
          <w:szCs w:val="24"/>
        </w:rPr>
        <w:t>tekuće</w:t>
      </w:r>
      <w:r w:rsidR="006872AC">
        <w:rPr>
          <w:rFonts w:ascii="Times New Roman" w:hAnsi="Times New Roman" w:cs="Times New Roman"/>
          <w:sz w:val="24"/>
          <w:szCs w:val="24"/>
        </w:rPr>
        <w:t xml:space="preserve"> pomoći i prihodi </w:t>
      </w:r>
      <w:r w:rsidR="004534FD">
        <w:rPr>
          <w:rFonts w:ascii="Times New Roman" w:hAnsi="Times New Roman" w:cs="Times New Roman"/>
          <w:sz w:val="24"/>
          <w:szCs w:val="24"/>
        </w:rPr>
        <w:t>za posebne namjene</w:t>
      </w:r>
      <w:r w:rsidR="006872AC">
        <w:rPr>
          <w:rFonts w:ascii="Times New Roman" w:hAnsi="Times New Roman" w:cs="Times New Roman"/>
          <w:sz w:val="24"/>
          <w:szCs w:val="24"/>
        </w:rPr>
        <w:t>,  prihodi od prodaje imovine.</w:t>
      </w:r>
    </w:p>
    <w:p w14:paraId="50BB5869" w14:textId="6C784F86" w:rsidR="00407F4A" w:rsidRPr="00CC3ECC" w:rsidRDefault="00407F4A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B53D7B" w14:textId="0B047E6A" w:rsidR="00022ADE" w:rsidRPr="00CC3ECC" w:rsidRDefault="00022ADE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376AD8" w14:textId="3B928ABD" w:rsidR="00022ADE" w:rsidRPr="00CC3ECC" w:rsidRDefault="00022ADE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1008 Program javnih potreba u sportu</w:t>
      </w:r>
    </w:p>
    <w:p w14:paraId="00DA4876" w14:textId="2937F19F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>Izvršenje ovog programa je 100%</w:t>
      </w:r>
    </w:p>
    <w:p w14:paraId="701B4A28" w14:textId="36F841AA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>Kroz ovaj program dodijeljene su potpore udrugama u sportu.</w:t>
      </w:r>
      <w:r w:rsidR="006872AC">
        <w:rPr>
          <w:rFonts w:ascii="Times New Roman" w:hAnsi="Times New Roman" w:cs="Times New Roman"/>
          <w:sz w:val="24"/>
          <w:szCs w:val="24"/>
        </w:rPr>
        <w:t xml:space="preserve"> Izvor financiranje su opći prihodi i primici.</w:t>
      </w:r>
    </w:p>
    <w:p w14:paraId="788CBA4B" w14:textId="49D3C974" w:rsidR="00022ADE" w:rsidRPr="00CC3ECC" w:rsidRDefault="00022ADE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E44ADE" w14:textId="1D3FCC87" w:rsidR="00022ADE" w:rsidRPr="00CC3ECC" w:rsidRDefault="00022ADE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1009 Program socijalne skrbi</w:t>
      </w:r>
    </w:p>
    <w:p w14:paraId="0B4C5CB4" w14:textId="5A3B875C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6872AC">
        <w:rPr>
          <w:rFonts w:ascii="Times New Roman" w:hAnsi="Times New Roman" w:cs="Times New Roman"/>
          <w:sz w:val="24"/>
          <w:szCs w:val="24"/>
        </w:rPr>
        <w:t>88</w:t>
      </w:r>
      <w:r w:rsidR="00022ADE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122A26CE" w14:textId="230AB646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>Program obuhvaća</w:t>
      </w:r>
      <w:r w:rsidR="00122EAC" w:rsidRPr="00CC3ECC">
        <w:rPr>
          <w:rFonts w:ascii="Times New Roman" w:hAnsi="Times New Roman" w:cs="Times New Roman"/>
          <w:sz w:val="24"/>
          <w:szCs w:val="24"/>
        </w:rPr>
        <w:t xml:space="preserve"> izgradnju doma umirovljenika,</w:t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 tekuće potpore udrugama socijalne skrbi, potpore za novorođenčad, stipendije i ostale socijalne pomoći.</w:t>
      </w:r>
    </w:p>
    <w:p w14:paraId="33960739" w14:textId="0D9A02F9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Potpore za  novorođenčad izvršene su </w:t>
      </w:r>
      <w:r w:rsidR="006872AC">
        <w:rPr>
          <w:rFonts w:ascii="Times New Roman" w:hAnsi="Times New Roman" w:cs="Times New Roman"/>
          <w:sz w:val="24"/>
          <w:szCs w:val="24"/>
        </w:rPr>
        <w:t>7</w:t>
      </w:r>
      <w:r w:rsidR="00BF12DC">
        <w:rPr>
          <w:rFonts w:ascii="Times New Roman" w:hAnsi="Times New Roman" w:cs="Times New Roman"/>
          <w:sz w:val="24"/>
          <w:szCs w:val="24"/>
        </w:rPr>
        <w:t>3</w:t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%, stipendije </w:t>
      </w:r>
      <w:r w:rsidR="00BF12DC">
        <w:rPr>
          <w:rFonts w:ascii="Times New Roman" w:hAnsi="Times New Roman" w:cs="Times New Roman"/>
          <w:sz w:val="24"/>
          <w:szCs w:val="24"/>
        </w:rPr>
        <w:t>su izvršene 88%</w:t>
      </w:r>
      <w:r w:rsidR="008B18D2">
        <w:rPr>
          <w:rFonts w:ascii="Times New Roman" w:hAnsi="Times New Roman" w:cs="Times New Roman"/>
          <w:sz w:val="24"/>
          <w:szCs w:val="24"/>
        </w:rPr>
        <w:t>,</w:t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 ostale socijalne pomoći  su </w:t>
      </w:r>
      <w:r w:rsidR="008B18D2">
        <w:rPr>
          <w:rFonts w:ascii="Times New Roman" w:hAnsi="Times New Roman" w:cs="Times New Roman"/>
          <w:sz w:val="24"/>
          <w:szCs w:val="24"/>
        </w:rPr>
        <w:t>izvršene 100%</w:t>
      </w:r>
      <w:r w:rsidR="006872AC">
        <w:rPr>
          <w:rFonts w:ascii="Times New Roman" w:hAnsi="Times New Roman" w:cs="Times New Roman"/>
          <w:sz w:val="24"/>
          <w:szCs w:val="24"/>
        </w:rPr>
        <w:t>, izgradnja doma umirovljenika nije započela</w:t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 stoga je izvršenje ovog programa </w:t>
      </w:r>
      <w:r w:rsidR="008B18D2">
        <w:rPr>
          <w:rFonts w:ascii="Times New Roman" w:hAnsi="Times New Roman" w:cs="Times New Roman"/>
          <w:sz w:val="24"/>
          <w:szCs w:val="24"/>
        </w:rPr>
        <w:t>36</w:t>
      </w:r>
      <w:r w:rsidR="006872AC">
        <w:rPr>
          <w:rFonts w:ascii="Times New Roman" w:hAnsi="Times New Roman" w:cs="Times New Roman"/>
          <w:sz w:val="24"/>
          <w:szCs w:val="24"/>
        </w:rPr>
        <w:t>%</w:t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 u odnosu na planirano.  </w:t>
      </w:r>
      <w:r w:rsidR="006872AC">
        <w:rPr>
          <w:rFonts w:ascii="Times New Roman" w:hAnsi="Times New Roman" w:cs="Times New Roman"/>
          <w:sz w:val="24"/>
          <w:szCs w:val="24"/>
        </w:rPr>
        <w:t>Izvor financiranja su opći prihodi</w:t>
      </w:r>
      <w:r w:rsidR="00DD6A28">
        <w:rPr>
          <w:rFonts w:ascii="Times New Roman" w:hAnsi="Times New Roman" w:cs="Times New Roman"/>
          <w:sz w:val="24"/>
          <w:szCs w:val="24"/>
        </w:rPr>
        <w:t>, prihodi za posebne namjene</w:t>
      </w:r>
      <w:r w:rsidR="006872AC">
        <w:rPr>
          <w:rFonts w:ascii="Times New Roman" w:hAnsi="Times New Roman" w:cs="Times New Roman"/>
          <w:sz w:val="24"/>
          <w:szCs w:val="24"/>
        </w:rPr>
        <w:t xml:space="preserve"> i prihodi od prodaje imovine.</w:t>
      </w:r>
    </w:p>
    <w:p w14:paraId="177CC3B4" w14:textId="286C8DAF" w:rsidR="00022ADE" w:rsidRPr="00CC3ECC" w:rsidRDefault="00022ADE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43C60" w14:textId="142F22DF" w:rsidR="00022ADE" w:rsidRPr="00CC3ECC" w:rsidRDefault="00022ADE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1010 program zdravstvene zaštite</w:t>
      </w:r>
    </w:p>
    <w:p w14:paraId="34E3FB1C" w14:textId="71F7EB96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A21F38">
        <w:rPr>
          <w:rFonts w:ascii="Times New Roman" w:hAnsi="Times New Roman" w:cs="Times New Roman"/>
          <w:sz w:val="24"/>
          <w:szCs w:val="24"/>
        </w:rPr>
        <w:t>99</w:t>
      </w:r>
      <w:r w:rsidR="00022ADE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3CE89132" w14:textId="10635C5F" w:rsidR="00022ADE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ADE" w:rsidRPr="00CC3ECC">
        <w:rPr>
          <w:rFonts w:ascii="Times New Roman" w:hAnsi="Times New Roman" w:cs="Times New Roman"/>
          <w:sz w:val="24"/>
          <w:szCs w:val="24"/>
        </w:rPr>
        <w:t xml:space="preserve">Ovim programom </w:t>
      </w:r>
      <w:r w:rsidR="00F86DE9" w:rsidRPr="00CC3ECC">
        <w:rPr>
          <w:rFonts w:ascii="Times New Roman" w:hAnsi="Times New Roman" w:cs="Times New Roman"/>
          <w:sz w:val="24"/>
          <w:szCs w:val="24"/>
        </w:rPr>
        <w:t>planirana je potpora udrugama zaštite zdravlja</w:t>
      </w:r>
      <w:r w:rsidR="00A21F38">
        <w:rPr>
          <w:rFonts w:ascii="Times New Roman" w:hAnsi="Times New Roman" w:cs="Times New Roman"/>
          <w:sz w:val="24"/>
          <w:szCs w:val="24"/>
        </w:rPr>
        <w:t xml:space="preserve">, </w:t>
      </w:r>
      <w:r w:rsidR="007A02C7">
        <w:rPr>
          <w:rFonts w:ascii="Times New Roman" w:hAnsi="Times New Roman" w:cs="Times New Roman"/>
          <w:sz w:val="24"/>
          <w:szCs w:val="24"/>
        </w:rPr>
        <w:t>zaštita životinja i dezinsekcija.</w:t>
      </w:r>
      <w:r w:rsidR="00122EAC" w:rsidRPr="00CC3ECC">
        <w:rPr>
          <w:rFonts w:ascii="Times New Roman" w:hAnsi="Times New Roman" w:cs="Times New Roman"/>
          <w:sz w:val="24"/>
          <w:szCs w:val="24"/>
        </w:rPr>
        <w:t xml:space="preserve"> </w:t>
      </w:r>
      <w:r w:rsidR="006872AC">
        <w:rPr>
          <w:rFonts w:ascii="Times New Roman" w:hAnsi="Times New Roman" w:cs="Times New Roman"/>
          <w:sz w:val="24"/>
          <w:szCs w:val="24"/>
        </w:rPr>
        <w:t>Izvor financiranje su opći prihodi i primici</w:t>
      </w:r>
      <w:r w:rsidR="007A02C7">
        <w:rPr>
          <w:rFonts w:ascii="Times New Roman" w:hAnsi="Times New Roman" w:cs="Times New Roman"/>
          <w:sz w:val="24"/>
          <w:szCs w:val="24"/>
        </w:rPr>
        <w:t xml:space="preserve"> i prihodi za posebne namjene.</w:t>
      </w:r>
    </w:p>
    <w:p w14:paraId="4F336E8B" w14:textId="03249BDF" w:rsidR="00F86DE9" w:rsidRPr="00CC3ECC" w:rsidRDefault="00F86DE9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7C7787" w14:textId="17743142" w:rsidR="00F86DE9" w:rsidRDefault="00F86DE9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C603AD" w14:textId="77777777" w:rsidR="00730FD7" w:rsidRPr="004C3702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>Program 1011 Program predškolskog odgoja i osnovnog obrazovanja</w:t>
      </w:r>
    </w:p>
    <w:p w14:paraId="2287D393" w14:textId="77777777" w:rsidR="00730FD7" w:rsidRPr="004C3702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CC6C11" w14:textId="1EAD6683" w:rsidR="00730FD7" w:rsidRPr="004C3702" w:rsidRDefault="00730FD7" w:rsidP="003C7B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 xml:space="preserve">Ovaj program obuhvaća projekt sanacije </w:t>
      </w:r>
      <w:r w:rsidR="00E85DEE">
        <w:rPr>
          <w:rFonts w:ascii="Times New Roman" w:hAnsi="Times New Roman" w:cs="Times New Roman"/>
          <w:sz w:val="24"/>
          <w:szCs w:val="24"/>
        </w:rPr>
        <w:t>i opremanj</w:t>
      </w:r>
      <w:r w:rsidR="001727F3">
        <w:rPr>
          <w:rFonts w:ascii="Times New Roman" w:hAnsi="Times New Roman" w:cs="Times New Roman"/>
          <w:sz w:val="24"/>
          <w:szCs w:val="24"/>
        </w:rPr>
        <w:t>a</w:t>
      </w:r>
      <w:r w:rsidRPr="004C3702">
        <w:rPr>
          <w:rFonts w:ascii="Times New Roman" w:hAnsi="Times New Roman" w:cs="Times New Roman"/>
          <w:sz w:val="24"/>
          <w:szCs w:val="24"/>
        </w:rPr>
        <w:t xml:space="preserve"> dječjeg vrtića, Aktivnost subvencija smještaja nastav</w:t>
      </w:r>
      <w:r>
        <w:rPr>
          <w:rFonts w:ascii="Times New Roman" w:hAnsi="Times New Roman" w:cs="Times New Roman"/>
          <w:sz w:val="24"/>
          <w:szCs w:val="24"/>
        </w:rPr>
        <w:t xml:space="preserve">nika sa nepunim radnim vremenom, </w:t>
      </w:r>
      <w:bookmarkStart w:id="2" w:name="_Hlk203558784"/>
      <w:r>
        <w:rPr>
          <w:rFonts w:ascii="Times New Roman" w:hAnsi="Times New Roman" w:cs="Times New Roman"/>
          <w:sz w:val="24"/>
          <w:szCs w:val="24"/>
        </w:rPr>
        <w:t xml:space="preserve">potporu za asistente u </w:t>
      </w:r>
      <w:bookmarkEnd w:id="2"/>
      <w:r>
        <w:rPr>
          <w:rFonts w:ascii="Times New Roman" w:hAnsi="Times New Roman" w:cs="Times New Roman"/>
          <w:sz w:val="24"/>
          <w:szCs w:val="24"/>
        </w:rPr>
        <w:t>osnovnoj školi Braća Glumac, edukaciju djece u suradnji sa MUP-om,</w:t>
      </w:r>
      <w:r w:rsidRPr="004C3702">
        <w:rPr>
          <w:rFonts w:ascii="Times New Roman" w:hAnsi="Times New Roman" w:cs="Times New Roman"/>
          <w:sz w:val="24"/>
          <w:szCs w:val="24"/>
        </w:rPr>
        <w:t xml:space="preserve"> te proračunskog korisnika Dječji vrtić Biser Lastova</w:t>
      </w:r>
      <w:r w:rsidR="002F724C">
        <w:rPr>
          <w:rFonts w:ascii="Times New Roman" w:hAnsi="Times New Roman" w:cs="Times New Roman"/>
          <w:sz w:val="24"/>
          <w:szCs w:val="24"/>
        </w:rPr>
        <w:t>.</w:t>
      </w:r>
    </w:p>
    <w:p w14:paraId="705AB4D2" w14:textId="77777777" w:rsidR="00730FD7" w:rsidRPr="004C3702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D7C4AA" w14:textId="316193ED" w:rsidR="00730FD7" w:rsidRPr="004C3702" w:rsidRDefault="00730FD7" w:rsidP="003C7B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lastRenderedPageBreak/>
        <w:t xml:space="preserve">Subvencija smještaja nastavnika sa nepunim radnim vremenom se izvršava kontinuirano, te je indeks izvršenja </w:t>
      </w:r>
      <w:r w:rsidR="002D4D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37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potpora za asistente je izvršena </w:t>
      </w:r>
      <w:r w:rsidR="002D4D9A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%, a </w:t>
      </w:r>
      <w:r w:rsidRPr="004C3702">
        <w:rPr>
          <w:rFonts w:ascii="Times New Roman" w:hAnsi="Times New Roman" w:cs="Times New Roman"/>
          <w:sz w:val="24"/>
          <w:szCs w:val="24"/>
        </w:rPr>
        <w:t xml:space="preserve">Sanacija </w:t>
      </w:r>
      <w:r w:rsidR="00E85DEE">
        <w:rPr>
          <w:rFonts w:ascii="Times New Roman" w:hAnsi="Times New Roman" w:cs="Times New Roman"/>
          <w:sz w:val="24"/>
          <w:szCs w:val="24"/>
        </w:rPr>
        <w:t>i opremanje</w:t>
      </w:r>
      <w:r w:rsidRPr="004C3702">
        <w:rPr>
          <w:rFonts w:ascii="Times New Roman" w:hAnsi="Times New Roman" w:cs="Times New Roman"/>
          <w:sz w:val="24"/>
          <w:szCs w:val="24"/>
        </w:rPr>
        <w:t xml:space="preserve"> Dječjeg vrtića </w:t>
      </w:r>
      <w:r w:rsidR="001727F3">
        <w:rPr>
          <w:rFonts w:ascii="Times New Roman" w:hAnsi="Times New Roman" w:cs="Times New Roman"/>
          <w:sz w:val="24"/>
          <w:szCs w:val="24"/>
        </w:rPr>
        <w:t>izvršena je 94%.</w:t>
      </w:r>
    </w:p>
    <w:p w14:paraId="0AA088A6" w14:textId="77777777" w:rsidR="00730FD7" w:rsidRPr="004C3702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DA6E4F" w14:textId="77777777" w:rsidR="00DB52EB" w:rsidRDefault="00DB52EB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D84AE6" w14:textId="35185750" w:rsidR="001F0D65" w:rsidRDefault="00730FD7" w:rsidP="003C7B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 xml:space="preserve">Dječji vrtić Biser Lastova je jedini proračunski korisnik Općine Lastovo. </w:t>
      </w:r>
    </w:p>
    <w:p w14:paraId="11250D39" w14:textId="77777777" w:rsidR="001F0D65" w:rsidRPr="00CC3ECC" w:rsidRDefault="001F0D65" w:rsidP="001F0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Financira se iz sredstava općinskog proračuna, te sredstava od participacije u cijeni koštanja vrtića koju plaćaju roditelji, te donacija građana i pravnih osoba.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630A5" w14:textId="77777777" w:rsidR="001F0D65" w:rsidRDefault="001F0D65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70871" w14:textId="52BE1486" w:rsidR="00730FD7" w:rsidRPr="004C3702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iznose </w:t>
      </w:r>
      <w:r w:rsidR="002F724C">
        <w:rPr>
          <w:rFonts w:ascii="Times New Roman" w:hAnsi="Times New Roman" w:cs="Times New Roman"/>
          <w:sz w:val="24"/>
          <w:szCs w:val="24"/>
        </w:rPr>
        <w:t>276.531,80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Pr="004C3702">
        <w:rPr>
          <w:rFonts w:ascii="Times New Roman" w:hAnsi="Times New Roman" w:cs="Times New Roman"/>
          <w:sz w:val="24"/>
          <w:szCs w:val="24"/>
        </w:rPr>
        <w:t>Ostvareni izvori za financiranje rada Dječjeg vrtića:</w:t>
      </w:r>
    </w:p>
    <w:p w14:paraId="61FBC378" w14:textId="77777777" w:rsidR="00730FD7" w:rsidRPr="004C3702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86CC6E" w14:textId="433B5795" w:rsidR="00730FD7" w:rsidRDefault="00730FD7" w:rsidP="00730FD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 xml:space="preserve">sredstva općinskog proračuna/opći prihodi i primici/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24C">
        <w:rPr>
          <w:rFonts w:ascii="Times New Roman" w:hAnsi="Times New Roman" w:cs="Times New Roman"/>
          <w:sz w:val="24"/>
          <w:szCs w:val="24"/>
        </w:rPr>
        <w:t>212.523,64</w:t>
      </w:r>
    </w:p>
    <w:p w14:paraId="585D58C6" w14:textId="37D64FE5" w:rsidR="00730FD7" w:rsidRPr="004C3702" w:rsidRDefault="00730FD7" w:rsidP="00730FD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općinskog proračuna /pomoći/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790739">
        <w:rPr>
          <w:rFonts w:ascii="Times New Roman" w:hAnsi="Times New Roman" w:cs="Times New Roman"/>
          <w:sz w:val="24"/>
          <w:szCs w:val="24"/>
        </w:rPr>
        <w:t>35.826,26</w:t>
      </w:r>
    </w:p>
    <w:p w14:paraId="10238258" w14:textId="1A1BA688" w:rsidR="00730FD7" w:rsidRDefault="00730FD7" w:rsidP="00730FD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 xml:space="preserve">Participacija u cijeni koštanja vrtića koju plaćaju roditelji                </w:t>
      </w:r>
      <w:r w:rsidR="00790739">
        <w:rPr>
          <w:rFonts w:ascii="Times New Roman" w:hAnsi="Times New Roman" w:cs="Times New Roman"/>
          <w:sz w:val="24"/>
          <w:szCs w:val="24"/>
        </w:rPr>
        <w:t>27.981,90</w:t>
      </w:r>
    </w:p>
    <w:p w14:paraId="3D4C185A" w14:textId="5D1A7254" w:rsidR="00730FD7" w:rsidRDefault="00730FD7" w:rsidP="00730FD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</w:t>
      </w:r>
      <w:r w:rsidRPr="004C3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90739">
        <w:rPr>
          <w:rFonts w:ascii="Times New Roman" w:hAnsi="Times New Roman" w:cs="Times New Roman"/>
          <w:sz w:val="24"/>
          <w:szCs w:val="24"/>
        </w:rPr>
        <w:t>200,00</w:t>
      </w:r>
    </w:p>
    <w:p w14:paraId="6C0AE4A4" w14:textId="77777777" w:rsidR="00580610" w:rsidRDefault="00580610" w:rsidP="005806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3F8F88" w14:textId="77777777" w:rsidR="00580610" w:rsidRDefault="00580610" w:rsidP="005806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DC191" w14:textId="662A2A5B" w:rsidR="00DB5EB3" w:rsidRPr="00DB5EB3" w:rsidRDefault="00DB5EB3" w:rsidP="003C7B9D">
      <w:pPr>
        <w:spacing w:line="27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DB5EB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DV Biser Lastova ostvario je  višak prihoda poslovanja 4.578,79  eura  i manjak od nefinancijske imovine  2.871,25 eura, </w:t>
      </w:r>
      <w:r w:rsidR="00A959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što je </w:t>
      </w:r>
      <w:r w:rsidRPr="00DB5EB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ukupno višak </w:t>
      </w:r>
      <w:r w:rsidR="00A959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od</w:t>
      </w:r>
      <w:r w:rsidRPr="00DB5EB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1.707,54 eura, budući da je iz prošlih godina prenesen manjak prihoda poslovanja u iznosu od 708,78 eura, za prijenos u 2026. godinu je višak u iznosu od 998,76 eura.</w:t>
      </w:r>
    </w:p>
    <w:p w14:paraId="2B4EF8E2" w14:textId="77777777" w:rsidR="00730FD7" w:rsidRDefault="00730FD7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001A4F" w14:textId="7AE5BC53" w:rsidR="007A7FD9" w:rsidRDefault="00730FD7" w:rsidP="003C7B9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3702">
        <w:rPr>
          <w:rFonts w:ascii="Times New Roman" w:hAnsi="Times New Roman" w:cs="Times New Roman"/>
          <w:sz w:val="24"/>
          <w:szCs w:val="24"/>
        </w:rPr>
        <w:t xml:space="preserve">Indeks ostvarenja rashoda  u odnosu na planirano je </w:t>
      </w:r>
      <w:r w:rsidR="004B7281">
        <w:rPr>
          <w:rFonts w:ascii="Times New Roman" w:hAnsi="Times New Roman" w:cs="Times New Roman"/>
          <w:sz w:val="24"/>
          <w:szCs w:val="24"/>
        </w:rPr>
        <w:t>98</w:t>
      </w:r>
      <w:r w:rsidRPr="004C3702">
        <w:rPr>
          <w:rFonts w:ascii="Times New Roman" w:hAnsi="Times New Roman" w:cs="Times New Roman"/>
          <w:sz w:val="24"/>
          <w:szCs w:val="24"/>
        </w:rPr>
        <w:t>%.</w:t>
      </w:r>
    </w:p>
    <w:p w14:paraId="1613D89B" w14:textId="13E27876" w:rsidR="002B6676" w:rsidRDefault="002B6676" w:rsidP="00730F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Dječjeg vrtića Biser Lastova uvećani su u odnosu na 2024. godinu</w:t>
      </w:r>
      <w:r w:rsidR="00B306BE">
        <w:rPr>
          <w:rFonts w:ascii="Times New Roman" w:hAnsi="Times New Roman" w:cs="Times New Roman"/>
          <w:sz w:val="24"/>
          <w:szCs w:val="24"/>
        </w:rPr>
        <w:t xml:space="preserve"> radi povećanja plaća djelatnika, povećanja cijene usluga i materijala potrebnih za rad vrtića.</w:t>
      </w:r>
    </w:p>
    <w:p w14:paraId="03FF8D80" w14:textId="77777777" w:rsidR="00730FD7" w:rsidRDefault="00730FD7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2B8315" w14:textId="208F4B22" w:rsidR="00F86DE9" w:rsidRPr="00CC3ECC" w:rsidRDefault="0085347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EC24F" w14:textId="03B158FF" w:rsidR="00F86DE9" w:rsidRPr="00CC3ECC" w:rsidRDefault="00F86DE9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AFF1B3" w14:textId="474B2EF7" w:rsidR="00F86DE9" w:rsidRPr="00CC3ECC" w:rsidRDefault="00F86DE9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1012 Razvoj turizma</w:t>
      </w:r>
    </w:p>
    <w:p w14:paraId="328EFCBE" w14:textId="794FD971" w:rsidR="00F86DE9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6DE9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B11E1D">
        <w:rPr>
          <w:rFonts w:ascii="Times New Roman" w:hAnsi="Times New Roman" w:cs="Times New Roman"/>
          <w:sz w:val="24"/>
          <w:szCs w:val="24"/>
        </w:rPr>
        <w:t>16</w:t>
      </w:r>
      <w:r w:rsidR="00F86DE9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1436A529" w14:textId="21B12EC9" w:rsidR="00F86DE9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6DE9" w:rsidRPr="00CC3ECC">
        <w:rPr>
          <w:rFonts w:ascii="Times New Roman" w:hAnsi="Times New Roman" w:cs="Times New Roman"/>
          <w:sz w:val="24"/>
          <w:szCs w:val="24"/>
        </w:rPr>
        <w:t>Ovim programom financiran je rad Turističke zajednice Lastovo</w:t>
      </w:r>
      <w:r w:rsidR="00122EAC" w:rsidRPr="00CC3ECC">
        <w:rPr>
          <w:rFonts w:ascii="Times New Roman" w:hAnsi="Times New Roman" w:cs="Times New Roman"/>
          <w:sz w:val="24"/>
          <w:szCs w:val="24"/>
        </w:rPr>
        <w:t xml:space="preserve">, </w:t>
      </w:r>
      <w:r w:rsidR="00FC73E0" w:rsidRPr="00CC3ECC">
        <w:rPr>
          <w:rFonts w:ascii="Times New Roman" w:hAnsi="Times New Roman" w:cs="Times New Roman"/>
          <w:sz w:val="24"/>
          <w:szCs w:val="24"/>
        </w:rPr>
        <w:t>Tekući projekt P</w:t>
      </w:r>
      <w:r w:rsidR="00F86DE9" w:rsidRPr="00CC3ECC">
        <w:rPr>
          <w:rFonts w:ascii="Times New Roman" w:hAnsi="Times New Roman" w:cs="Times New Roman"/>
          <w:sz w:val="24"/>
          <w:szCs w:val="24"/>
        </w:rPr>
        <w:t>lan upravljanja pomorskim dobrom</w:t>
      </w:r>
      <w:r w:rsidR="007A0FAD">
        <w:rPr>
          <w:rFonts w:ascii="Times New Roman" w:hAnsi="Times New Roman" w:cs="Times New Roman"/>
          <w:sz w:val="24"/>
          <w:szCs w:val="24"/>
        </w:rPr>
        <w:t xml:space="preserve"> (uređenje plaža)</w:t>
      </w:r>
      <w:r w:rsidR="009E476A">
        <w:rPr>
          <w:rFonts w:ascii="Times New Roman" w:hAnsi="Times New Roman" w:cs="Times New Roman"/>
          <w:sz w:val="24"/>
          <w:szCs w:val="24"/>
        </w:rPr>
        <w:t xml:space="preserve">, </w:t>
      </w:r>
      <w:r w:rsidR="002C35BA">
        <w:rPr>
          <w:rFonts w:ascii="Times New Roman" w:hAnsi="Times New Roman" w:cs="Times New Roman"/>
          <w:sz w:val="24"/>
          <w:szCs w:val="24"/>
        </w:rPr>
        <w:t>projekt Posjetiteljski centar Lastovo i Trg Bašta Dolac.</w:t>
      </w:r>
      <w:r w:rsidR="007A0FAD">
        <w:rPr>
          <w:rFonts w:ascii="Times New Roman" w:hAnsi="Times New Roman" w:cs="Times New Roman"/>
          <w:sz w:val="24"/>
          <w:szCs w:val="24"/>
        </w:rPr>
        <w:t xml:space="preserve"> Izvori financiranja su </w:t>
      </w:r>
      <w:r w:rsidR="0035577F">
        <w:rPr>
          <w:rFonts w:ascii="Times New Roman" w:hAnsi="Times New Roman" w:cs="Times New Roman"/>
          <w:sz w:val="24"/>
          <w:szCs w:val="24"/>
        </w:rPr>
        <w:t>opći prihodi i</w:t>
      </w:r>
      <w:r w:rsidR="007A0FAD">
        <w:rPr>
          <w:rFonts w:ascii="Times New Roman" w:hAnsi="Times New Roman" w:cs="Times New Roman"/>
          <w:sz w:val="24"/>
          <w:szCs w:val="24"/>
        </w:rPr>
        <w:t xml:space="preserve"> prihodi</w:t>
      </w:r>
      <w:r w:rsidR="0035577F">
        <w:rPr>
          <w:rFonts w:ascii="Times New Roman" w:hAnsi="Times New Roman" w:cs="Times New Roman"/>
          <w:sz w:val="24"/>
          <w:szCs w:val="24"/>
        </w:rPr>
        <w:t xml:space="preserve"> za posebne namjene</w:t>
      </w:r>
      <w:r w:rsidR="00B10476">
        <w:rPr>
          <w:rFonts w:ascii="Times New Roman" w:hAnsi="Times New Roman" w:cs="Times New Roman"/>
          <w:sz w:val="24"/>
          <w:szCs w:val="24"/>
        </w:rPr>
        <w:t>, te</w:t>
      </w:r>
      <w:r w:rsidR="007A0FAD">
        <w:rPr>
          <w:rFonts w:ascii="Times New Roman" w:hAnsi="Times New Roman" w:cs="Times New Roman"/>
          <w:sz w:val="24"/>
          <w:szCs w:val="24"/>
        </w:rPr>
        <w:t xml:space="preserve"> kapitalne pomoći koje se prenose u 202</w:t>
      </w:r>
      <w:r w:rsidR="00B10476">
        <w:rPr>
          <w:rFonts w:ascii="Times New Roman" w:hAnsi="Times New Roman" w:cs="Times New Roman"/>
          <w:sz w:val="24"/>
          <w:szCs w:val="24"/>
        </w:rPr>
        <w:t>6</w:t>
      </w:r>
      <w:r w:rsidR="007A0FAD">
        <w:rPr>
          <w:rFonts w:ascii="Times New Roman" w:hAnsi="Times New Roman" w:cs="Times New Roman"/>
          <w:sz w:val="24"/>
          <w:szCs w:val="24"/>
        </w:rPr>
        <w:t>. godinu jer tekući projekt Uređenje plaža nije izvršen</w:t>
      </w:r>
      <w:r w:rsidR="00B10476">
        <w:rPr>
          <w:rFonts w:ascii="Times New Roman" w:hAnsi="Times New Roman" w:cs="Times New Roman"/>
          <w:sz w:val="24"/>
          <w:szCs w:val="24"/>
        </w:rPr>
        <w:t>.</w:t>
      </w:r>
    </w:p>
    <w:p w14:paraId="230C6F9D" w14:textId="77777777" w:rsidR="002157B0" w:rsidRDefault="002157B0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F445B9" w14:textId="77777777" w:rsidR="002157B0" w:rsidRDefault="002157B0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3FA4CF" w14:textId="1B6CE479" w:rsidR="00FC73E0" w:rsidRPr="00CC3ECC" w:rsidRDefault="00FC73E0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1013 Razvoj poduzetništva</w:t>
      </w:r>
    </w:p>
    <w:p w14:paraId="3B85AA68" w14:textId="6C9C42E6" w:rsidR="00FC73E0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3E0" w:rsidRPr="00CC3ECC">
        <w:rPr>
          <w:rFonts w:ascii="Times New Roman" w:hAnsi="Times New Roman" w:cs="Times New Roman"/>
          <w:sz w:val="24"/>
          <w:szCs w:val="24"/>
        </w:rPr>
        <w:t xml:space="preserve">Izvršenje ovog programa je </w:t>
      </w:r>
      <w:r w:rsidR="007A0FAD">
        <w:rPr>
          <w:rFonts w:ascii="Times New Roman" w:hAnsi="Times New Roman" w:cs="Times New Roman"/>
          <w:sz w:val="24"/>
          <w:szCs w:val="24"/>
        </w:rPr>
        <w:t>9</w:t>
      </w:r>
      <w:r w:rsidR="00B10476">
        <w:rPr>
          <w:rFonts w:ascii="Times New Roman" w:hAnsi="Times New Roman" w:cs="Times New Roman"/>
          <w:sz w:val="24"/>
          <w:szCs w:val="24"/>
        </w:rPr>
        <w:t>4</w:t>
      </w:r>
      <w:r w:rsidR="00FC73E0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3E8CCFDB" w14:textId="6E806B3C" w:rsidR="00FC73E0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3E0" w:rsidRPr="00CC3ECC">
        <w:rPr>
          <w:rFonts w:ascii="Times New Roman" w:hAnsi="Times New Roman" w:cs="Times New Roman"/>
          <w:sz w:val="24"/>
          <w:szCs w:val="24"/>
        </w:rPr>
        <w:t xml:space="preserve">Ovaj program obuhvaća aktivnosti promicanja internetske povezanosti u lokalnoj zajednici, </w:t>
      </w:r>
      <w:r w:rsidR="001B2804" w:rsidRPr="00CC3ECC">
        <w:rPr>
          <w:rFonts w:ascii="Times New Roman" w:hAnsi="Times New Roman" w:cs="Times New Roman"/>
          <w:sz w:val="24"/>
          <w:szCs w:val="24"/>
        </w:rPr>
        <w:t xml:space="preserve">aktivnost </w:t>
      </w:r>
      <w:r w:rsidR="00FC73E0" w:rsidRPr="00CC3ECC">
        <w:rPr>
          <w:rFonts w:ascii="Times New Roman" w:hAnsi="Times New Roman" w:cs="Times New Roman"/>
          <w:sz w:val="24"/>
          <w:szCs w:val="24"/>
        </w:rPr>
        <w:t>pokriće gubitka poduzeća u vlasništvu Općine Lastovo</w:t>
      </w:r>
      <w:r w:rsidR="007A0FAD">
        <w:rPr>
          <w:rFonts w:ascii="Times New Roman" w:hAnsi="Times New Roman" w:cs="Times New Roman"/>
          <w:sz w:val="24"/>
          <w:szCs w:val="24"/>
        </w:rPr>
        <w:t>, sufinanciranje javnog prijevoza te sufinanciranje javnog bilježnika, uredovnih dana na Lastovu. Izvori fina</w:t>
      </w:r>
      <w:r w:rsidR="00CD238F">
        <w:rPr>
          <w:rFonts w:ascii="Times New Roman" w:hAnsi="Times New Roman" w:cs="Times New Roman"/>
          <w:sz w:val="24"/>
          <w:szCs w:val="24"/>
        </w:rPr>
        <w:t>n</w:t>
      </w:r>
      <w:r w:rsidR="007A0FAD">
        <w:rPr>
          <w:rFonts w:ascii="Times New Roman" w:hAnsi="Times New Roman" w:cs="Times New Roman"/>
          <w:sz w:val="24"/>
          <w:szCs w:val="24"/>
        </w:rPr>
        <w:t>ciranja su opći prihodi i primici, prihodi od prodaje imovine.</w:t>
      </w:r>
    </w:p>
    <w:p w14:paraId="6EC706D1" w14:textId="645D6108" w:rsidR="00FC73E0" w:rsidRPr="00CC3ECC" w:rsidRDefault="00FC73E0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735F3" w14:textId="444A3BC2" w:rsidR="00FC73E0" w:rsidRDefault="007A0FAD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1014 Razvoj poljoprivrede</w:t>
      </w:r>
    </w:p>
    <w:p w14:paraId="6EE35E3C" w14:textId="29FC49DD" w:rsidR="009F7872" w:rsidRDefault="009F7872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Izvršenje programa je 36%.</w:t>
      </w:r>
    </w:p>
    <w:p w14:paraId="699FD9A8" w14:textId="4F9EC09A" w:rsidR="007A0FAD" w:rsidRDefault="007A0FAD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Ovaj program obuhva</w:t>
      </w:r>
      <w:r w:rsidR="009F7872">
        <w:rPr>
          <w:rFonts w:ascii="Times New Roman" w:hAnsi="Times New Roman" w:cs="Times New Roman"/>
          <w:sz w:val="24"/>
          <w:szCs w:val="24"/>
        </w:rPr>
        <w:t>ća potpore udrugama u poljop</w:t>
      </w:r>
      <w:r w:rsidR="00CD238F">
        <w:rPr>
          <w:rFonts w:ascii="Times New Roman" w:hAnsi="Times New Roman" w:cs="Times New Roman"/>
          <w:sz w:val="24"/>
          <w:szCs w:val="24"/>
        </w:rPr>
        <w:t>r</w:t>
      </w:r>
      <w:r w:rsidR="009F7872">
        <w:rPr>
          <w:rFonts w:ascii="Times New Roman" w:hAnsi="Times New Roman" w:cs="Times New Roman"/>
          <w:sz w:val="24"/>
          <w:szCs w:val="24"/>
        </w:rPr>
        <w:t>ivredi i program raspolaganja državnim poljoprivrednim zemljištem. Izvori financiranja su opći prihodi.</w:t>
      </w:r>
    </w:p>
    <w:p w14:paraId="0A10DF11" w14:textId="77777777" w:rsidR="009F7872" w:rsidRPr="00CC3ECC" w:rsidRDefault="009F7872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A7F2BF" w14:textId="77777777" w:rsidR="00DB52EB" w:rsidRDefault="00DB52EB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C383E0" w14:textId="77777777" w:rsidR="002A759C" w:rsidRDefault="002A759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8AE3F5" w14:textId="793A4059" w:rsidR="00FC73E0" w:rsidRPr="00CC3ECC" w:rsidRDefault="00FC73E0" w:rsidP="003C7B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ECC">
        <w:rPr>
          <w:rFonts w:ascii="Times New Roman" w:hAnsi="Times New Roman" w:cs="Times New Roman"/>
          <w:sz w:val="24"/>
          <w:szCs w:val="24"/>
        </w:rPr>
        <w:t>Program 1016 Zaštita od požara i civilna zaštita</w:t>
      </w:r>
    </w:p>
    <w:p w14:paraId="22F0555B" w14:textId="4ED73ABE" w:rsidR="00FC73E0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C73E0" w:rsidRPr="00CC3ECC">
        <w:rPr>
          <w:rFonts w:ascii="Times New Roman" w:hAnsi="Times New Roman" w:cs="Times New Roman"/>
          <w:sz w:val="24"/>
          <w:szCs w:val="24"/>
        </w:rPr>
        <w:t>Izvršenje ovog programa je 9</w:t>
      </w:r>
      <w:r w:rsidR="009F7872">
        <w:rPr>
          <w:rFonts w:ascii="Times New Roman" w:hAnsi="Times New Roman" w:cs="Times New Roman"/>
          <w:sz w:val="24"/>
          <w:szCs w:val="24"/>
        </w:rPr>
        <w:t>8</w:t>
      </w:r>
      <w:r w:rsidR="00FC73E0" w:rsidRPr="00CC3ECC">
        <w:rPr>
          <w:rFonts w:ascii="Times New Roman" w:hAnsi="Times New Roman" w:cs="Times New Roman"/>
          <w:sz w:val="24"/>
          <w:szCs w:val="24"/>
        </w:rPr>
        <w:t>%</w:t>
      </w:r>
    </w:p>
    <w:p w14:paraId="2A55A45B" w14:textId="5846D103" w:rsidR="00F86DE9" w:rsidRPr="00CC3ECC" w:rsidRDefault="00CC3ECC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3E0" w:rsidRPr="00CC3ECC">
        <w:rPr>
          <w:rFonts w:ascii="Times New Roman" w:hAnsi="Times New Roman" w:cs="Times New Roman"/>
          <w:sz w:val="24"/>
          <w:szCs w:val="24"/>
        </w:rPr>
        <w:t>Kroz ovaj program sufinancira se rad DVD-a Lastovo, čime Općina Lastovo ispunjava zakonsku obvezu financiranja protupožarne zaštite, sufinancira se rad udruga iz područja zaštite i spašavanja</w:t>
      </w:r>
      <w:r w:rsidR="001B2804" w:rsidRPr="00CC3ECC">
        <w:rPr>
          <w:rFonts w:ascii="Times New Roman" w:hAnsi="Times New Roman" w:cs="Times New Roman"/>
          <w:sz w:val="24"/>
          <w:szCs w:val="24"/>
        </w:rPr>
        <w:t>,  rad stožera civilne zaštite.</w:t>
      </w:r>
      <w:r w:rsidR="009F7872">
        <w:rPr>
          <w:rFonts w:ascii="Times New Roman" w:hAnsi="Times New Roman" w:cs="Times New Roman"/>
          <w:sz w:val="24"/>
          <w:szCs w:val="24"/>
        </w:rPr>
        <w:t xml:space="preserve"> Izvori financiranja su opći prihodi i vlastiti prihodi.</w:t>
      </w:r>
    </w:p>
    <w:p w14:paraId="20020185" w14:textId="77777777" w:rsidR="00C509D7" w:rsidRDefault="00C509D7" w:rsidP="00CE36D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DFBA" w14:textId="77777777" w:rsidR="00C509D7" w:rsidRDefault="00C509D7" w:rsidP="00CC3EC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981B3" w14:textId="0801137A" w:rsidR="00022ADE" w:rsidRPr="00CC3ECC" w:rsidRDefault="00CF5F55" w:rsidP="00CC3EC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ECC">
        <w:rPr>
          <w:rFonts w:ascii="Times New Roman" w:hAnsi="Times New Roman" w:cs="Times New Roman"/>
          <w:b/>
          <w:bCs/>
          <w:sz w:val="24"/>
          <w:szCs w:val="24"/>
        </w:rPr>
        <w:t>FINANCIJSKI REZULTAT</w:t>
      </w:r>
    </w:p>
    <w:p w14:paraId="21E97C8D" w14:textId="155BED84" w:rsidR="00CF5F55" w:rsidRPr="00CC3ECC" w:rsidRDefault="00CF5F55" w:rsidP="00CC3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686CF6" w14:textId="1B3BCAAA" w:rsidR="00CF5F55" w:rsidRDefault="00CC3ECC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5F55" w:rsidRPr="00CC3ECC">
        <w:rPr>
          <w:rFonts w:ascii="Times New Roman" w:hAnsi="Times New Roman" w:cs="Times New Roman"/>
          <w:sz w:val="24"/>
          <w:szCs w:val="24"/>
        </w:rPr>
        <w:t>U 202</w:t>
      </w:r>
      <w:r w:rsidR="00F974E3">
        <w:rPr>
          <w:rFonts w:ascii="Times New Roman" w:hAnsi="Times New Roman" w:cs="Times New Roman"/>
          <w:sz w:val="24"/>
          <w:szCs w:val="24"/>
        </w:rPr>
        <w:t>5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. godini ostvaren je </w:t>
      </w:r>
      <w:r w:rsidR="009F7872">
        <w:rPr>
          <w:rFonts w:ascii="Times New Roman" w:hAnsi="Times New Roman" w:cs="Times New Roman"/>
          <w:sz w:val="24"/>
          <w:szCs w:val="24"/>
        </w:rPr>
        <w:t>manjak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F974E3">
        <w:rPr>
          <w:rFonts w:ascii="Times New Roman" w:hAnsi="Times New Roman" w:cs="Times New Roman"/>
          <w:sz w:val="24"/>
          <w:szCs w:val="24"/>
        </w:rPr>
        <w:t>156.332,89</w:t>
      </w:r>
      <w:r w:rsidR="00FA4EC2" w:rsidRPr="00CC3ECC">
        <w:rPr>
          <w:rFonts w:ascii="Times New Roman" w:hAnsi="Times New Roman" w:cs="Times New Roman"/>
          <w:sz w:val="24"/>
          <w:szCs w:val="24"/>
        </w:rPr>
        <w:t xml:space="preserve"> eura,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</w:t>
      </w:r>
      <w:r w:rsidR="009F7872">
        <w:rPr>
          <w:rFonts w:ascii="Times New Roman" w:hAnsi="Times New Roman" w:cs="Times New Roman"/>
          <w:sz w:val="24"/>
          <w:szCs w:val="24"/>
        </w:rPr>
        <w:t xml:space="preserve">a planom proračuna je planirano korištenje viška prihoda iz ranijih godina u iznosu od </w:t>
      </w:r>
      <w:r w:rsidR="00F974E3">
        <w:rPr>
          <w:rFonts w:ascii="Times New Roman" w:hAnsi="Times New Roman" w:cs="Times New Roman"/>
          <w:sz w:val="24"/>
          <w:szCs w:val="24"/>
        </w:rPr>
        <w:t>91.923,06</w:t>
      </w:r>
      <w:r w:rsidR="009F7872">
        <w:rPr>
          <w:rFonts w:ascii="Times New Roman" w:hAnsi="Times New Roman" w:cs="Times New Roman"/>
          <w:sz w:val="24"/>
          <w:szCs w:val="24"/>
        </w:rPr>
        <w:t xml:space="preserve"> eura, tako da </w:t>
      </w:r>
      <w:r w:rsidR="00F974E3">
        <w:rPr>
          <w:rFonts w:ascii="Times New Roman" w:hAnsi="Times New Roman" w:cs="Times New Roman"/>
          <w:sz w:val="24"/>
          <w:szCs w:val="24"/>
        </w:rPr>
        <w:t>manjak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prihoda za prijenos u 202</w:t>
      </w:r>
      <w:r w:rsidR="00F974E3">
        <w:rPr>
          <w:rFonts w:ascii="Times New Roman" w:hAnsi="Times New Roman" w:cs="Times New Roman"/>
          <w:sz w:val="24"/>
          <w:szCs w:val="24"/>
        </w:rPr>
        <w:t>6</w:t>
      </w:r>
      <w:r w:rsidR="00FA4EC2" w:rsidRPr="00CC3ECC">
        <w:rPr>
          <w:rFonts w:ascii="Times New Roman" w:hAnsi="Times New Roman" w:cs="Times New Roman"/>
          <w:sz w:val="24"/>
          <w:szCs w:val="24"/>
        </w:rPr>
        <w:t>. godinu</w:t>
      </w:r>
      <w:r w:rsidR="003D316F" w:rsidRPr="00CC3ECC">
        <w:rPr>
          <w:rFonts w:ascii="Times New Roman" w:hAnsi="Times New Roman" w:cs="Times New Roman"/>
          <w:sz w:val="24"/>
          <w:szCs w:val="24"/>
        </w:rPr>
        <w:t xml:space="preserve"> </w:t>
      </w:r>
      <w:r w:rsidR="00FA4EC2" w:rsidRPr="00CC3ECC">
        <w:rPr>
          <w:rFonts w:ascii="Times New Roman" w:hAnsi="Times New Roman" w:cs="Times New Roman"/>
          <w:sz w:val="24"/>
          <w:szCs w:val="24"/>
        </w:rPr>
        <w:t xml:space="preserve"> iznosi </w:t>
      </w:r>
      <w:r w:rsidR="00D14DDA">
        <w:rPr>
          <w:rFonts w:ascii="Times New Roman" w:hAnsi="Times New Roman" w:cs="Times New Roman"/>
          <w:sz w:val="24"/>
          <w:szCs w:val="24"/>
        </w:rPr>
        <w:t>64.409,83</w:t>
      </w:r>
      <w:r w:rsidR="00FA4EC2" w:rsidRPr="00CC3ECC">
        <w:rPr>
          <w:rFonts w:ascii="Times New Roman" w:hAnsi="Times New Roman" w:cs="Times New Roman"/>
          <w:sz w:val="24"/>
          <w:szCs w:val="24"/>
        </w:rPr>
        <w:t xml:space="preserve"> eur</w:t>
      </w:r>
      <w:r w:rsidR="003D316F" w:rsidRPr="00CC3ECC">
        <w:rPr>
          <w:rFonts w:ascii="Times New Roman" w:hAnsi="Times New Roman" w:cs="Times New Roman"/>
          <w:sz w:val="24"/>
          <w:szCs w:val="24"/>
        </w:rPr>
        <w:t>a</w:t>
      </w:r>
      <w:r w:rsidR="00C509D7">
        <w:rPr>
          <w:rFonts w:ascii="Times New Roman" w:hAnsi="Times New Roman" w:cs="Times New Roman"/>
          <w:sz w:val="24"/>
          <w:szCs w:val="24"/>
        </w:rPr>
        <w:t>.</w:t>
      </w:r>
    </w:p>
    <w:p w14:paraId="07C80DEF" w14:textId="77777777" w:rsidR="006D5E26" w:rsidRDefault="006D5E26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78AF35" w14:textId="6587DF99" w:rsidR="00382747" w:rsidRDefault="00382747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73AC">
        <w:rPr>
          <w:rFonts w:ascii="Times New Roman" w:hAnsi="Times New Roman" w:cs="Times New Roman"/>
          <w:sz w:val="24"/>
          <w:szCs w:val="24"/>
        </w:rPr>
        <w:t>Za 202</w:t>
      </w:r>
      <w:r w:rsidR="00D14DDA">
        <w:rPr>
          <w:rFonts w:ascii="Times New Roman" w:hAnsi="Times New Roman" w:cs="Times New Roman"/>
          <w:sz w:val="24"/>
          <w:szCs w:val="24"/>
        </w:rPr>
        <w:t>5</w:t>
      </w:r>
      <w:r w:rsidR="008473AC">
        <w:rPr>
          <w:rFonts w:ascii="Times New Roman" w:hAnsi="Times New Roman" w:cs="Times New Roman"/>
          <w:sz w:val="24"/>
          <w:szCs w:val="24"/>
        </w:rPr>
        <w:t>. godinu</w:t>
      </w:r>
      <w:r w:rsidRPr="00382747">
        <w:rPr>
          <w:rFonts w:ascii="Times New Roman" w:hAnsi="Times New Roman" w:cs="Times New Roman"/>
          <w:sz w:val="24"/>
          <w:szCs w:val="24"/>
        </w:rPr>
        <w:t xml:space="preserve"> </w:t>
      </w:r>
      <w:r w:rsidR="008473AC">
        <w:rPr>
          <w:rFonts w:ascii="Times New Roman" w:hAnsi="Times New Roman" w:cs="Times New Roman"/>
          <w:sz w:val="24"/>
          <w:szCs w:val="24"/>
        </w:rPr>
        <w:t>ostvaren je</w:t>
      </w:r>
      <w:r w:rsidRPr="00382747">
        <w:rPr>
          <w:rFonts w:ascii="Times New Roman" w:hAnsi="Times New Roman" w:cs="Times New Roman"/>
          <w:sz w:val="24"/>
          <w:szCs w:val="24"/>
        </w:rPr>
        <w:t xml:space="preserve"> ukupan višak prihoda poslovanja u iznosu od </w:t>
      </w:r>
      <w:r w:rsidR="008E48B0">
        <w:rPr>
          <w:rFonts w:ascii="Times New Roman" w:hAnsi="Times New Roman" w:cs="Times New Roman"/>
          <w:sz w:val="24"/>
          <w:szCs w:val="24"/>
        </w:rPr>
        <w:t>274.754,62</w:t>
      </w:r>
      <w:r w:rsidRPr="00382747">
        <w:rPr>
          <w:rFonts w:ascii="Times New Roman" w:hAnsi="Times New Roman" w:cs="Times New Roman"/>
          <w:sz w:val="24"/>
          <w:szCs w:val="24"/>
        </w:rPr>
        <w:t xml:space="preserve">  i manjak prihoda od nefinancijske imovine u iznosu od </w:t>
      </w:r>
      <w:r w:rsidR="008E48B0">
        <w:rPr>
          <w:rFonts w:ascii="Times New Roman" w:hAnsi="Times New Roman" w:cs="Times New Roman"/>
          <w:sz w:val="24"/>
          <w:szCs w:val="24"/>
        </w:rPr>
        <w:t>339.164,45</w:t>
      </w:r>
      <w:r w:rsidRPr="00382747">
        <w:rPr>
          <w:rFonts w:ascii="Times New Roman" w:hAnsi="Times New Roman" w:cs="Times New Roman"/>
          <w:sz w:val="24"/>
          <w:szCs w:val="24"/>
        </w:rPr>
        <w:t xml:space="preserve"> eur</w:t>
      </w:r>
      <w:r w:rsidR="008E48B0">
        <w:rPr>
          <w:rFonts w:ascii="Times New Roman" w:hAnsi="Times New Roman" w:cs="Times New Roman"/>
          <w:sz w:val="24"/>
          <w:szCs w:val="24"/>
        </w:rPr>
        <w:t>a</w:t>
      </w:r>
      <w:r w:rsidR="008473AC">
        <w:rPr>
          <w:rFonts w:ascii="Times New Roman" w:hAnsi="Times New Roman" w:cs="Times New Roman"/>
          <w:sz w:val="24"/>
          <w:szCs w:val="24"/>
        </w:rPr>
        <w:t>, budući da se kapitalne pomoći i namjenski prihodi knjiže kao prihodi poslovanja, a ne kao prihodi od prodaje imovine, pa je potrebno izvršiti korekciju viška prihoda.</w:t>
      </w:r>
    </w:p>
    <w:p w14:paraId="716BB056" w14:textId="77777777" w:rsidR="00124010" w:rsidRDefault="00124010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5BC6A2" w14:textId="662075B8" w:rsidR="00124010" w:rsidRPr="00124010" w:rsidRDefault="00124010" w:rsidP="003C7B9D">
      <w:pPr>
        <w:spacing w:line="278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12401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Općina Lastovo ostvarila je   višak prihoda poslovanja  181.124,02 eura  i manjak od nefinancijske  imovine 339.164,45 eura, ukupno manjak 158.040.43 eura, budući da je iz prošlih godina prenesen višak prihoda poslovanja u iznosu od 92.631,84 eura, za prijenos u 20</w:t>
      </w:r>
      <w:r w:rsidR="006D5E2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</w:t>
      </w:r>
      <w:r w:rsidRPr="0012401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6. godinu je manjak prihoda u iznosu od 65.408,59 eura.</w:t>
      </w:r>
    </w:p>
    <w:p w14:paraId="49E01416" w14:textId="77777777" w:rsidR="00124010" w:rsidRPr="00124010" w:rsidRDefault="00124010" w:rsidP="003C7B9D">
      <w:pPr>
        <w:spacing w:line="278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12401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DV Biser Lastova ostvario je  višak prihoda poslovanja     4.578,79  eura  i manjak od nefinancijske imovine     2.871,25 eura, ukupno višak        1.707,54 eura, budući da je iz prošlih godina prenesen manjak prihoda poslovanja u iznosu od 708,78 eura, za prijenos u 2026. godinu je višak u iznosu od 998,76 eura.</w:t>
      </w:r>
    </w:p>
    <w:p w14:paraId="0977BA9E" w14:textId="77777777" w:rsidR="00C509D7" w:rsidRPr="00CC3ECC" w:rsidRDefault="00C509D7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1E5C21" w14:textId="6E2F6964" w:rsidR="00CF5F55" w:rsidRPr="00CC3ECC" w:rsidRDefault="009F7872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316F" w:rsidRPr="00CC3ECC">
        <w:rPr>
          <w:rFonts w:ascii="Times New Roman" w:hAnsi="Times New Roman" w:cs="Times New Roman"/>
          <w:sz w:val="24"/>
          <w:szCs w:val="24"/>
        </w:rPr>
        <w:t>Višak prihoda je raspoređen prema izvorima financiranja, te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će se </w:t>
      </w:r>
      <w:r w:rsidR="003D316F" w:rsidRPr="00CC3ECC">
        <w:rPr>
          <w:rFonts w:ascii="Times New Roman" w:hAnsi="Times New Roman" w:cs="Times New Roman"/>
          <w:sz w:val="24"/>
          <w:szCs w:val="24"/>
        </w:rPr>
        <w:t xml:space="preserve">Odlukom o izmjenama i dopunama 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3D316F" w:rsidRPr="00CC3ECC">
        <w:rPr>
          <w:rFonts w:ascii="Times New Roman" w:hAnsi="Times New Roman" w:cs="Times New Roman"/>
          <w:sz w:val="24"/>
          <w:szCs w:val="24"/>
        </w:rPr>
        <w:t xml:space="preserve">Općine Lastovo </w:t>
      </w:r>
      <w:r w:rsidR="00CF5F55" w:rsidRPr="00CC3ECC">
        <w:rPr>
          <w:rFonts w:ascii="Times New Roman" w:hAnsi="Times New Roman" w:cs="Times New Roman"/>
          <w:sz w:val="24"/>
          <w:szCs w:val="24"/>
        </w:rPr>
        <w:t>za 202</w:t>
      </w:r>
      <w:r w:rsidR="00D14DDA">
        <w:rPr>
          <w:rFonts w:ascii="Times New Roman" w:hAnsi="Times New Roman" w:cs="Times New Roman"/>
          <w:sz w:val="24"/>
          <w:szCs w:val="24"/>
        </w:rPr>
        <w:t>6</w:t>
      </w:r>
      <w:r w:rsidR="00CF5F55" w:rsidRPr="00CC3ECC">
        <w:rPr>
          <w:rFonts w:ascii="Times New Roman" w:hAnsi="Times New Roman" w:cs="Times New Roman"/>
          <w:sz w:val="24"/>
          <w:szCs w:val="24"/>
        </w:rPr>
        <w:t>. godinu</w:t>
      </w:r>
      <w:r w:rsidR="003D316F" w:rsidRPr="00CC3ECC">
        <w:rPr>
          <w:rFonts w:ascii="Times New Roman" w:hAnsi="Times New Roman" w:cs="Times New Roman"/>
          <w:sz w:val="24"/>
          <w:szCs w:val="24"/>
        </w:rPr>
        <w:t xml:space="preserve"> uvrstiti u preneseni višak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prema vrsti prihoda</w:t>
      </w:r>
      <w:r w:rsidR="003D316F" w:rsidRPr="00CC3ECC">
        <w:rPr>
          <w:rFonts w:ascii="Times New Roman" w:hAnsi="Times New Roman" w:cs="Times New Roman"/>
          <w:sz w:val="24"/>
          <w:szCs w:val="24"/>
        </w:rPr>
        <w:t xml:space="preserve"> i izvora financiranja</w:t>
      </w:r>
      <w:r w:rsidR="00CF5F55" w:rsidRPr="00CC3ECC">
        <w:rPr>
          <w:rFonts w:ascii="Times New Roman" w:hAnsi="Times New Roman" w:cs="Times New Roman"/>
          <w:sz w:val="24"/>
          <w:szCs w:val="24"/>
        </w:rPr>
        <w:t xml:space="preserve"> i </w:t>
      </w:r>
      <w:r w:rsidR="000344E2" w:rsidRPr="00CC3ECC">
        <w:rPr>
          <w:rFonts w:ascii="Times New Roman" w:hAnsi="Times New Roman" w:cs="Times New Roman"/>
          <w:sz w:val="24"/>
          <w:szCs w:val="24"/>
        </w:rPr>
        <w:t>rasporediti na odgovarajuće rashode.</w:t>
      </w:r>
    </w:p>
    <w:p w14:paraId="223190DF" w14:textId="77777777" w:rsidR="00022ADE" w:rsidRPr="00CC3ECC" w:rsidRDefault="00022ADE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9DFB6D" w14:textId="77777777" w:rsidR="00CE36DA" w:rsidRP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>REPUBLIKA HRVATSKA</w:t>
      </w:r>
    </w:p>
    <w:p w14:paraId="06C35201" w14:textId="77777777" w:rsidR="00CE36DA" w:rsidRP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>DUBROVAČKO-NERETVANSKA ŽUPANIJA</w:t>
      </w:r>
    </w:p>
    <w:p w14:paraId="0E2D95D5" w14:textId="77777777" w:rsidR="00CE36DA" w:rsidRP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>OPĆINA LASTOVO</w:t>
      </w:r>
    </w:p>
    <w:p w14:paraId="05D9B8F7" w14:textId="77777777" w:rsidR="00CE36DA" w:rsidRP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>OPĆINSKO VIJEĆE</w:t>
      </w:r>
    </w:p>
    <w:p w14:paraId="2DF15B5C" w14:textId="77777777" w:rsid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999222" w14:textId="00E6C00E" w:rsidR="00CE36DA" w:rsidRP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>KLASA: 400-06/2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36DA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7A87D0E1" w14:textId="1F81D1A4" w:rsidR="00CE36DA" w:rsidRPr="00CE36DA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>URBROJ: 2117-15-02-2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36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5BF27E0B" w14:textId="38E3B217" w:rsidR="00022ADE" w:rsidRPr="00CC3ECC" w:rsidRDefault="00CE36DA" w:rsidP="00CE36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DA">
        <w:rPr>
          <w:rFonts w:ascii="Times New Roman" w:hAnsi="Times New Roman" w:cs="Times New Roman"/>
          <w:sz w:val="24"/>
          <w:szCs w:val="24"/>
        </w:rPr>
        <w:t xml:space="preserve">Lastovo,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CE36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svibnja</w:t>
      </w:r>
      <w:r w:rsidRPr="00CE36D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36DA">
        <w:rPr>
          <w:rFonts w:ascii="Times New Roman" w:hAnsi="Times New Roman" w:cs="Times New Roman"/>
          <w:sz w:val="24"/>
          <w:szCs w:val="24"/>
        </w:rPr>
        <w:t>. godine</w:t>
      </w:r>
    </w:p>
    <w:p w14:paraId="0DDF5A73" w14:textId="77777777" w:rsidR="00CE36DA" w:rsidRDefault="00CE36DA" w:rsidP="00CE36D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D2CD881" w14:textId="1F4AA66D" w:rsidR="00407F4A" w:rsidRDefault="00CE36DA" w:rsidP="00CE36D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E5FE88D" w14:textId="5A0D7508" w:rsidR="00CE36DA" w:rsidRPr="00CC3ECC" w:rsidRDefault="00CE36DA" w:rsidP="00CE36D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Katić</w:t>
      </w:r>
    </w:p>
    <w:p w14:paraId="7DCF4AE0" w14:textId="77777777" w:rsidR="00C65905" w:rsidRPr="00CC3ECC" w:rsidRDefault="00C65905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36524B" w14:textId="77777777" w:rsidR="00C65905" w:rsidRPr="00CC3ECC" w:rsidRDefault="00C65905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35EE47" w14:textId="089C0784" w:rsidR="003313FB" w:rsidRPr="00CC3ECC" w:rsidRDefault="003313FB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D90920" w14:textId="753FF6F9" w:rsidR="00D64830" w:rsidRPr="00CC3ECC" w:rsidRDefault="00D64830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F2B34E" w14:textId="46D5931F" w:rsidR="00D64830" w:rsidRPr="00CC3ECC" w:rsidRDefault="00D64830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79F9A9" w14:textId="046B835E" w:rsidR="00D64830" w:rsidRPr="00CC3ECC" w:rsidRDefault="00D64830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9B5EC1" w14:textId="028ECF09" w:rsidR="00D64830" w:rsidRPr="00CC3ECC" w:rsidRDefault="00D64830" w:rsidP="00922E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A9333C" w14:textId="3C6FC87F" w:rsidR="00D64830" w:rsidRPr="00CC3ECC" w:rsidRDefault="00D64830" w:rsidP="00CC3EC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64830" w:rsidRPr="00CC3ECC" w:rsidSect="00C509D7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352E3"/>
    <w:multiLevelType w:val="hybridMultilevel"/>
    <w:tmpl w:val="1C3200CA"/>
    <w:lvl w:ilvl="0" w:tplc="EA5AFB1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2EB3"/>
    <w:multiLevelType w:val="hybridMultilevel"/>
    <w:tmpl w:val="5808ACFC"/>
    <w:lvl w:ilvl="0" w:tplc="A178EC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F1514"/>
    <w:multiLevelType w:val="hybridMultilevel"/>
    <w:tmpl w:val="B3E01CE6"/>
    <w:lvl w:ilvl="0" w:tplc="C5D03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0421">
    <w:abstractNumId w:val="2"/>
  </w:num>
  <w:num w:numId="2" w16cid:durableId="1308513552">
    <w:abstractNumId w:val="1"/>
  </w:num>
  <w:num w:numId="3" w16cid:durableId="111223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1D"/>
    <w:rsid w:val="00011368"/>
    <w:rsid w:val="00022ADE"/>
    <w:rsid w:val="000344E2"/>
    <w:rsid w:val="00042FEA"/>
    <w:rsid w:val="00080702"/>
    <w:rsid w:val="00083930"/>
    <w:rsid w:val="000A7482"/>
    <w:rsid w:val="000D7F1A"/>
    <w:rsid w:val="000E43A7"/>
    <w:rsid w:val="000F1E1D"/>
    <w:rsid w:val="000F286C"/>
    <w:rsid w:val="000F5815"/>
    <w:rsid w:val="000F7349"/>
    <w:rsid w:val="00122EAC"/>
    <w:rsid w:val="00124010"/>
    <w:rsid w:val="00125B30"/>
    <w:rsid w:val="00133FA1"/>
    <w:rsid w:val="00146174"/>
    <w:rsid w:val="00163DEA"/>
    <w:rsid w:val="001727F3"/>
    <w:rsid w:val="001B2804"/>
    <w:rsid w:val="001F0D65"/>
    <w:rsid w:val="00204C35"/>
    <w:rsid w:val="00214849"/>
    <w:rsid w:val="002157B0"/>
    <w:rsid w:val="00216D59"/>
    <w:rsid w:val="00267B3F"/>
    <w:rsid w:val="00291587"/>
    <w:rsid w:val="002A759C"/>
    <w:rsid w:val="002B6676"/>
    <w:rsid w:val="002C35BA"/>
    <w:rsid w:val="002D4D9A"/>
    <w:rsid w:val="002F3CE1"/>
    <w:rsid w:val="002F724C"/>
    <w:rsid w:val="003313FB"/>
    <w:rsid w:val="0035577F"/>
    <w:rsid w:val="00372ED7"/>
    <w:rsid w:val="00382747"/>
    <w:rsid w:val="003C71BC"/>
    <w:rsid w:val="003C7B9D"/>
    <w:rsid w:val="003D316F"/>
    <w:rsid w:val="003E00E2"/>
    <w:rsid w:val="003F1730"/>
    <w:rsid w:val="0040747C"/>
    <w:rsid w:val="00407769"/>
    <w:rsid w:val="00407F4A"/>
    <w:rsid w:val="004534FD"/>
    <w:rsid w:val="004B038D"/>
    <w:rsid w:val="004B7281"/>
    <w:rsid w:val="004C048D"/>
    <w:rsid w:val="00580610"/>
    <w:rsid w:val="005A5842"/>
    <w:rsid w:val="005B063F"/>
    <w:rsid w:val="005E469A"/>
    <w:rsid w:val="005F19DD"/>
    <w:rsid w:val="006872AC"/>
    <w:rsid w:val="00697157"/>
    <w:rsid w:val="006B19CF"/>
    <w:rsid w:val="006D5E26"/>
    <w:rsid w:val="006F5704"/>
    <w:rsid w:val="006F6349"/>
    <w:rsid w:val="006F6DB2"/>
    <w:rsid w:val="00730FD7"/>
    <w:rsid w:val="00760D89"/>
    <w:rsid w:val="007622E7"/>
    <w:rsid w:val="00765CD4"/>
    <w:rsid w:val="00790739"/>
    <w:rsid w:val="007A02C7"/>
    <w:rsid w:val="007A0FAD"/>
    <w:rsid w:val="007A7FD9"/>
    <w:rsid w:val="007B3CF9"/>
    <w:rsid w:val="007C09FA"/>
    <w:rsid w:val="008473AC"/>
    <w:rsid w:val="00853475"/>
    <w:rsid w:val="00874984"/>
    <w:rsid w:val="00890F00"/>
    <w:rsid w:val="00895A71"/>
    <w:rsid w:val="008B18D2"/>
    <w:rsid w:val="008C28DE"/>
    <w:rsid w:val="008E2C54"/>
    <w:rsid w:val="008E48B0"/>
    <w:rsid w:val="008F69DF"/>
    <w:rsid w:val="00907585"/>
    <w:rsid w:val="00910323"/>
    <w:rsid w:val="00922E9A"/>
    <w:rsid w:val="00923671"/>
    <w:rsid w:val="009A2D89"/>
    <w:rsid w:val="009A4978"/>
    <w:rsid w:val="009D1D9D"/>
    <w:rsid w:val="009E43E8"/>
    <w:rsid w:val="009E476A"/>
    <w:rsid w:val="009F7872"/>
    <w:rsid w:val="00A2080D"/>
    <w:rsid w:val="00A21F38"/>
    <w:rsid w:val="00A27093"/>
    <w:rsid w:val="00A312AF"/>
    <w:rsid w:val="00A9595F"/>
    <w:rsid w:val="00AB18D5"/>
    <w:rsid w:val="00AB4637"/>
    <w:rsid w:val="00B10476"/>
    <w:rsid w:val="00B11E1D"/>
    <w:rsid w:val="00B306BE"/>
    <w:rsid w:val="00B3665C"/>
    <w:rsid w:val="00B86E4E"/>
    <w:rsid w:val="00BB2473"/>
    <w:rsid w:val="00BC5BCF"/>
    <w:rsid w:val="00BF12DC"/>
    <w:rsid w:val="00C1148F"/>
    <w:rsid w:val="00C226E0"/>
    <w:rsid w:val="00C26BA4"/>
    <w:rsid w:val="00C26D27"/>
    <w:rsid w:val="00C42666"/>
    <w:rsid w:val="00C509D7"/>
    <w:rsid w:val="00C51E02"/>
    <w:rsid w:val="00C65905"/>
    <w:rsid w:val="00C86098"/>
    <w:rsid w:val="00C97E31"/>
    <w:rsid w:val="00CC3ECC"/>
    <w:rsid w:val="00CD238F"/>
    <w:rsid w:val="00CE36DA"/>
    <w:rsid w:val="00CE682C"/>
    <w:rsid w:val="00CF5F55"/>
    <w:rsid w:val="00D13C7E"/>
    <w:rsid w:val="00D14DDA"/>
    <w:rsid w:val="00D21353"/>
    <w:rsid w:val="00D418D9"/>
    <w:rsid w:val="00D64830"/>
    <w:rsid w:val="00D84300"/>
    <w:rsid w:val="00DA302C"/>
    <w:rsid w:val="00DB52EB"/>
    <w:rsid w:val="00DB5EB3"/>
    <w:rsid w:val="00DD6A28"/>
    <w:rsid w:val="00E01CE8"/>
    <w:rsid w:val="00E43BEF"/>
    <w:rsid w:val="00E620D3"/>
    <w:rsid w:val="00E85DEE"/>
    <w:rsid w:val="00EA719F"/>
    <w:rsid w:val="00EA79ED"/>
    <w:rsid w:val="00EE3D4F"/>
    <w:rsid w:val="00F302D3"/>
    <w:rsid w:val="00F53AFD"/>
    <w:rsid w:val="00F63699"/>
    <w:rsid w:val="00F86DE9"/>
    <w:rsid w:val="00F902D6"/>
    <w:rsid w:val="00F974E3"/>
    <w:rsid w:val="00FA4EC2"/>
    <w:rsid w:val="00FB0367"/>
    <w:rsid w:val="00FB5300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5E99"/>
  <w15:docId w15:val="{70F92C9F-7ECC-4997-8411-FF36DF9E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22E9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4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 Giljević</dc:creator>
  <cp:lastModifiedBy>Nevena Čengija</cp:lastModifiedBy>
  <cp:revision>3</cp:revision>
  <cp:lastPrinted>2026-06-02T13:00:00Z</cp:lastPrinted>
  <dcterms:created xsi:type="dcterms:W3CDTF">2026-05-22T09:50:00Z</dcterms:created>
  <dcterms:modified xsi:type="dcterms:W3CDTF">2026-06-02T13:00:00Z</dcterms:modified>
</cp:coreProperties>
</file>